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A0D6D0" w14:textId="2F61D3B9" w:rsidR="002F569C" w:rsidRPr="000B7BD3" w:rsidRDefault="002F569C" w:rsidP="002F569C">
      <w:pPr>
        <w:jc w:val="center"/>
        <w:rPr>
          <w:b/>
        </w:rPr>
      </w:pPr>
      <w:r w:rsidRPr="000B7BD3">
        <w:rPr>
          <w:b/>
        </w:rPr>
        <w:t xml:space="preserve">HIS </w:t>
      </w:r>
      <w:r w:rsidR="00EB06AB" w:rsidRPr="000B7BD3">
        <w:rPr>
          <w:b/>
        </w:rPr>
        <w:t>270</w:t>
      </w:r>
      <w:r w:rsidRPr="000B7BD3">
        <w:rPr>
          <w:b/>
        </w:rPr>
        <w:t xml:space="preserve">: </w:t>
      </w:r>
      <w:r w:rsidR="006A2E87" w:rsidRPr="000B7BD3">
        <w:rPr>
          <w:b/>
        </w:rPr>
        <w:t>War &amp; Society in U.S. Culture</w:t>
      </w:r>
    </w:p>
    <w:p w14:paraId="6F5DA56D" w14:textId="5537126E" w:rsidR="002F569C" w:rsidRPr="000B7BD3" w:rsidRDefault="00EB06AB" w:rsidP="002F569C">
      <w:pPr>
        <w:jc w:val="center"/>
      </w:pPr>
      <w:r w:rsidRPr="000B7BD3">
        <w:t>Fall 2016</w:t>
      </w:r>
    </w:p>
    <w:p w14:paraId="7057493E" w14:textId="77777777" w:rsidR="00EB06AB" w:rsidRPr="000B7BD3" w:rsidRDefault="00EB06AB" w:rsidP="00EB06AB">
      <w:pPr>
        <w:widowControl w:val="0"/>
        <w:autoSpaceDE w:val="0"/>
        <w:autoSpaceDN w:val="0"/>
        <w:adjustRightInd w:val="0"/>
        <w:jc w:val="center"/>
        <w:rPr>
          <w:rFonts w:cs="Times"/>
        </w:rPr>
      </w:pPr>
      <w:r w:rsidRPr="000B7BD3">
        <w:rPr>
          <w:rFonts w:cs="Cambria"/>
          <w:b/>
          <w:color w:val="16191F"/>
        </w:rPr>
        <w:t>Instructor:</w:t>
      </w:r>
      <w:r w:rsidRPr="000B7BD3">
        <w:rPr>
          <w:rFonts w:cs="Cambria"/>
          <w:color w:val="16191F"/>
        </w:rPr>
        <w:t xml:space="preserve"> David Kieran  </w:t>
      </w:r>
      <w:r w:rsidRPr="000B7BD3">
        <w:rPr>
          <w:rFonts w:cs="Cambria"/>
          <w:b/>
          <w:color w:val="16191F"/>
        </w:rPr>
        <w:t>Email:</w:t>
      </w:r>
      <w:r w:rsidRPr="000B7BD3">
        <w:rPr>
          <w:rFonts w:cs="Cambria"/>
          <w:color w:val="16191F"/>
        </w:rPr>
        <w:t xml:space="preserve"> dkieran@washjeff.edu</w:t>
      </w:r>
    </w:p>
    <w:p w14:paraId="5FA1C4B6" w14:textId="281B8C6E" w:rsidR="00EB06AB" w:rsidRPr="000B7BD3" w:rsidRDefault="00EB06AB" w:rsidP="00EB06AB">
      <w:pPr>
        <w:widowControl w:val="0"/>
        <w:autoSpaceDE w:val="0"/>
        <w:autoSpaceDN w:val="0"/>
        <w:adjustRightInd w:val="0"/>
        <w:jc w:val="center"/>
        <w:rPr>
          <w:rFonts w:cs="Cambria"/>
          <w:color w:val="16191F"/>
        </w:rPr>
      </w:pPr>
      <w:r w:rsidRPr="000B7BD3">
        <w:rPr>
          <w:rFonts w:cs="Cambria"/>
          <w:b/>
          <w:color w:val="16191F"/>
        </w:rPr>
        <w:t>Class Time:</w:t>
      </w:r>
      <w:r w:rsidRPr="000B7BD3">
        <w:rPr>
          <w:rFonts w:cs="Cambria"/>
          <w:color w:val="16191F"/>
        </w:rPr>
        <w:t xml:space="preserve"> TR </w:t>
      </w:r>
      <w:r w:rsidRPr="000B7BD3">
        <w:rPr>
          <w:rFonts w:cs="Cambria"/>
          <w:color w:val="16191F"/>
          <w:highlight w:val="yellow"/>
        </w:rPr>
        <w:t>11:45AM-12</w:t>
      </w:r>
      <w:proofErr w:type="gramStart"/>
      <w:r w:rsidRPr="000B7BD3">
        <w:rPr>
          <w:rFonts w:cs="Cambria"/>
          <w:color w:val="16191F"/>
          <w:highlight w:val="yellow"/>
        </w:rPr>
        <w:t>:50PM</w:t>
      </w:r>
      <w:proofErr w:type="gramEnd"/>
      <w:r w:rsidRPr="000B7BD3">
        <w:rPr>
          <w:rFonts w:cs="Cambria"/>
          <w:color w:val="16191F"/>
        </w:rPr>
        <w:t xml:space="preserve"> </w:t>
      </w:r>
      <w:r w:rsidRPr="000B7BD3">
        <w:rPr>
          <w:rFonts w:cs="Cambria"/>
          <w:b/>
          <w:color w:val="16191F"/>
        </w:rPr>
        <w:t>Class Location:</w:t>
      </w:r>
      <w:r w:rsidRPr="000B7BD3">
        <w:rPr>
          <w:rFonts w:cs="Cambria"/>
          <w:color w:val="16191F"/>
        </w:rPr>
        <w:t xml:space="preserve"> OM 203</w:t>
      </w:r>
    </w:p>
    <w:p w14:paraId="5C045740" w14:textId="77777777" w:rsidR="00EB06AB" w:rsidRPr="000B7BD3" w:rsidRDefault="00EB06AB" w:rsidP="00EB06AB">
      <w:pPr>
        <w:widowControl w:val="0"/>
        <w:autoSpaceDE w:val="0"/>
        <w:autoSpaceDN w:val="0"/>
        <w:adjustRightInd w:val="0"/>
        <w:jc w:val="center"/>
        <w:rPr>
          <w:rFonts w:cs="Cambria"/>
          <w:color w:val="16191F"/>
        </w:rPr>
      </w:pPr>
      <w:r w:rsidRPr="000B7BD3">
        <w:rPr>
          <w:rFonts w:cs="Cambria"/>
          <w:b/>
          <w:color w:val="16191F"/>
        </w:rPr>
        <w:t>Office:</w:t>
      </w:r>
      <w:r w:rsidRPr="000B7BD3">
        <w:rPr>
          <w:rFonts w:cs="Cambria"/>
          <w:color w:val="16191F"/>
        </w:rPr>
        <w:t xml:space="preserve"> OM 209C</w:t>
      </w:r>
      <w:r w:rsidRPr="000B7BD3">
        <w:rPr>
          <w:rFonts w:cs="Cambria"/>
          <w:color w:val="16191F"/>
        </w:rPr>
        <w:tab/>
      </w:r>
      <w:r w:rsidRPr="000B7BD3">
        <w:rPr>
          <w:rFonts w:cs="Cambria"/>
          <w:b/>
          <w:color w:val="16191F"/>
        </w:rPr>
        <w:t>Office Hours:</w:t>
      </w:r>
      <w:r w:rsidRPr="000B7BD3">
        <w:rPr>
          <w:rFonts w:cs="Cambria"/>
          <w:color w:val="16191F"/>
        </w:rPr>
        <w:t xml:space="preserve"> MW 1:00-3:00, or by appointment</w:t>
      </w:r>
    </w:p>
    <w:p w14:paraId="0FFCBD01" w14:textId="77777777" w:rsidR="002F569C" w:rsidRPr="000B7BD3" w:rsidRDefault="002F569C" w:rsidP="00306171">
      <w:pPr>
        <w:rPr>
          <w:u w:val="single"/>
        </w:rPr>
      </w:pPr>
    </w:p>
    <w:p w14:paraId="6DEB7E44" w14:textId="77777777" w:rsidR="002F569C" w:rsidRPr="000B7BD3" w:rsidRDefault="002F569C" w:rsidP="002F569C">
      <w:pPr>
        <w:rPr>
          <w:rFonts w:cs="Consolas"/>
        </w:rPr>
      </w:pPr>
      <w:r w:rsidRPr="000B7BD3">
        <w:rPr>
          <w:rFonts w:cs="Consolas"/>
        </w:rPr>
        <w:t xml:space="preserve">This course examines the relationship between war, the military, and U.S. culture. We will focus less on how the military has been used in particular instances or on the history of particular wars and instead ask broader questions that emerge from understanding the military as critical cultural institution. Among them will be: What should the relationship between the military and the nation be during times of war and peace? How have Americans, including service members and veterans, sought to define the military's place in American culture? How have wars and militarism created spaces for debating larger questions about national identity, race, class, gender, sexuality, and citizenship? </w:t>
      </w:r>
    </w:p>
    <w:p w14:paraId="7E57EBAA" w14:textId="77777777" w:rsidR="002F569C" w:rsidRPr="000B7BD3" w:rsidRDefault="002F569C" w:rsidP="002F569C">
      <w:pPr>
        <w:rPr>
          <w:rFonts w:cs="Consolas"/>
        </w:rPr>
      </w:pPr>
    </w:p>
    <w:p w14:paraId="0DF8C76E" w14:textId="77777777" w:rsidR="002F569C" w:rsidRPr="000B7BD3" w:rsidRDefault="002F569C" w:rsidP="002F569C">
      <w:pPr>
        <w:rPr>
          <w:rFonts w:cs="Consolas"/>
        </w:rPr>
      </w:pPr>
      <w:r w:rsidRPr="000B7BD3">
        <w:rPr>
          <w:rFonts w:cs="Consolas"/>
        </w:rPr>
        <w:t>Among the topics we will consider are the relationship between military service, citizenship, and civil rights; debates about the citizen’s obligations during wartime; military recruiting, the draft, and the transition to an all volunteer force; debates about the appropriate roles of women and gay and lesbian service members; and veterans issues.</w:t>
      </w:r>
    </w:p>
    <w:p w14:paraId="1C078561" w14:textId="77777777" w:rsidR="002F569C" w:rsidRPr="000B7BD3" w:rsidRDefault="002F569C" w:rsidP="00306171">
      <w:pPr>
        <w:rPr>
          <w:u w:val="single"/>
        </w:rPr>
      </w:pPr>
    </w:p>
    <w:p w14:paraId="6794997A" w14:textId="77777777" w:rsidR="00B61E22" w:rsidRPr="000B7BD3" w:rsidRDefault="00B61E22" w:rsidP="00306171">
      <w:pPr>
        <w:rPr>
          <w:u w:val="single"/>
        </w:rPr>
      </w:pPr>
      <w:r w:rsidRPr="000B7BD3">
        <w:rPr>
          <w:u w:val="single"/>
        </w:rPr>
        <w:t>Texts for the Course:</w:t>
      </w:r>
    </w:p>
    <w:p w14:paraId="4AD0C2D9" w14:textId="77777777" w:rsidR="00B61E22" w:rsidRPr="000B7BD3" w:rsidRDefault="00B61E22" w:rsidP="00306171">
      <w:r w:rsidRPr="000B7BD3">
        <w:t>The following books are required for the course and can be purchased at the bookstore. Other readings marked with ** are available on Blackboard.</w:t>
      </w:r>
      <w:r w:rsidRPr="000B7BD3">
        <w:br/>
      </w:r>
    </w:p>
    <w:p w14:paraId="45CFDD64" w14:textId="77777777" w:rsidR="00B61E22" w:rsidRPr="000B7BD3" w:rsidRDefault="00B61E22" w:rsidP="00306171">
      <w:pPr>
        <w:rPr>
          <w:i/>
        </w:rPr>
      </w:pPr>
      <w:r w:rsidRPr="000B7BD3">
        <w:t xml:space="preserve">Bailey, </w:t>
      </w:r>
      <w:r w:rsidRPr="000B7BD3">
        <w:rPr>
          <w:i/>
        </w:rPr>
        <w:t>America’s Army: Building the All-Volunteer Force</w:t>
      </w:r>
    </w:p>
    <w:p w14:paraId="40A4B708" w14:textId="77777777" w:rsidR="002F569C" w:rsidRPr="000B7BD3" w:rsidRDefault="002F569C" w:rsidP="002F569C">
      <w:pPr>
        <w:rPr>
          <w:i/>
        </w:rPr>
      </w:pPr>
      <w:proofErr w:type="spellStart"/>
      <w:r w:rsidRPr="000B7BD3">
        <w:t>Heefner</w:t>
      </w:r>
      <w:proofErr w:type="spellEnd"/>
      <w:r w:rsidRPr="000B7BD3">
        <w:t xml:space="preserve">, </w:t>
      </w:r>
      <w:r w:rsidRPr="000B7BD3">
        <w:rPr>
          <w:i/>
        </w:rPr>
        <w:t>The Missile Next Door: The Minuteman in the American Heartland</w:t>
      </w:r>
    </w:p>
    <w:p w14:paraId="50B2C857" w14:textId="126970F5" w:rsidR="00EB06AB" w:rsidRPr="000B7BD3" w:rsidRDefault="00EB06AB" w:rsidP="002F569C">
      <w:pPr>
        <w:rPr>
          <w:i/>
        </w:rPr>
      </w:pPr>
      <w:r w:rsidRPr="000B7BD3">
        <w:t xml:space="preserve">MacLeish, </w:t>
      </w:r>
      <w:r w:rsidRPr="000B7BD3">
        <w:rPr>
          <w:i/>
        </w:rPr>
        <w:t>Marking War at Fort Hood: Life and Uncertainty in a Military Community</w:t>
      </w:r>
    </w:p>
    <w:p w14:paraId="721F1AB4" w14:textId="77777777" w:rsidR="00EB06AB" w:rsidRPr="000B7BD3" w:rsidRDefault="00EB06AB" w:rsidP="00306171">
      <w:r w:rsidRPr="000B7BD3">
        <w:t xml:space="preserve">Perez, </w:t>
      </w:r>
      <w:r w:rsidRPr="000B7BD3">
        <w:rPr>
          <w:i/>
        </w:rPr>
        <w:t>Citizen, Student, Soldier: Latina/o Youth, JROTC, and the American Dream</w:t>
      </w:r>
    </w:p>
    <w:p w14:paraId="48A23AD9" w14:textId="7EC1A87A" w:rsidR="002F569C" w:rsidRPr="000B7BD3" w:rsidRDefault="00EB06AB" w:rsidP="00306171">
      <w:pPr>
        <w:rPr>
          <w:i/>
        </w:rPr>
      </w:pPr>
      <w:r w:rsidRPr="000B7BD3">
        <w:t xml:space="preserve">Phillips, </w:t>
      </w:r>
      <w:r w:rsidRPr="000B7BD3">
        <w:rPr>
          <w:i/>
        </w:rPr>
        <w:t>War! What is it Good For? Black Freedom Struggles &amp; the U.S. Military from World War II to Iraq</w:t>
      </w:r>
      <w:r w:rsidR="002F569C" w:rsidRPr="000B7BD3">
        <w:rPr>
          <w:i/>
        </w:rPr>
        <w:br/>
      </w:r>
    </w:p>
    <w:p w14:paraId="12B8758B" w14:textId="77777777" w:rsidR="00306171" w:rsidRPr="000B7BD3" w:rsidRDefault="00306171" w:rsidP="00306171">
      <w:pPr>
        <w:rPr>
          <w:u w:val="single"/>
        </w:rPr>
      </w:pPr>
      <w:r w:rsidRPr="000B7BD3">
        <w:rPr>
          <w:u w:val="single"/>
        </w:rPr>
        <w:t>Course Requirements:</w:t>
      </w:r>
    </w:p>
    <w:p w14:paraId="49821FC0" w14:textId="77777777" w:rsidR="00306171" w:rsidRPr="000B7BD3" w:rsidRDefault="00306171" w:rsidP="00306171">
      <w:r w:rsidRPr="000B7BD3">
        <w:t>To pass this course, you must complete all assignments and earn a passing grade on the final project.</w:t>
      </w:r>
      <w:r w:rsidRPr="000B7BD3">
        <w:br/>
      </w:r>
    </w:p>
    <w:p w14:paraId="2008E2D1" w14:textId="77777777" w:rsidR="00306171" w:rsidRPr="000B7BD3" w:rsidRDefault="00306171" w:rsidP="00306171">
      <w:pPr>
        <w:pStyle w:val="NoSpacing"/>
        <w:numPr>
          <w:ilvl w:val="0"/>
          <w:numId w:val="13"/>
        </w:numPr>
        <w:rPr>
          <w:rFonts w:asciiTheme="minorHAnsi" w:hAnsiTheme="minorHAnsi"/>
          <w:sz w:val="24"/>
          <w:szCs w:val="24"/>
        </w:rPr>
      </w:pPr>
      <w:r w:rsidRPr="000B7BD3">
        <w:rPr>
          <w:rFonts w:asciiTheme="minorHAnsi" w:hAnsiTheme="minorHAnsi"/>
          <w:i/>
          <w:sz w:val="24"/>
          <w:szCs w:val="24"/>
        </w:rPr>
        <w:t>Weekly Reading Analysis (20%):</w:t>
      </w:r>
      <w:r w:rsidRPr="000B7BD3">
        <w:rPr>
          <w:rFonts w:asciiTheme="minorHAnsi" w:hAnsiTheme="minorHAnsi"/>
          <w:sz w:val="24"/>
          <w:szCs w:val="24"/>
        </w:rPr>
        <w:t xml:space="preserve"> Each week, you will prepare a one-page response in which you will choose what you consider to be a key passage from the reading and write a well-organized paragraph in which you explain its relevance to the readings for that day or an issue that we have been discussing in the course. This passage might point to a key theme, concept, or idea that recurs within the text, might demonstrate a literary device or stylistic technique that you think is interesting or important, might be central to a question that emerged for you while you were reading, or might be a </w:t>
      </w:r>
      <w:r w:rsidRPr="000B7BD3">
        <w:rPr>
          <w:rFonts w:asciiTheme="minorHAnsi" w:hAnsiTheme="minorHAnsi"/>
          <w:sz w:val="24"/>
          <w:szCs w:val="24"/>
        </w:rPr>
        <w:lastRenderedPageBreak/>
        <w:t xml:space="preserve">place where you see a link between the primary and the secondary reading or to our earlier conversations and other readings. </w:t>
      </w:r>
    </w:p>
    <w:p w14:paraId="0FF22C25" w14:textId="77777777" w:rsidR="00306171" w:rsidRPr="000B7BD3" w:rsidRDefault="00306171" w:rsidP="00306171">
      <w:pPr>
        <w:pStyle w:val="NoSpacing"/>
        <w:numPr>
          <w:ilvl w:val="1"/>
          <w:numId w:val="13"/>
        </w:numPr>
        <w:rPr>
          <w:rFonts w:asciiTheme="minorHAnsi" w:hAnsiTheme="minorHAnsi"/>
          <w:sz w:val="24"/>
          <w:szCs w:val="24"/>
        </w:rPr>
      </w:pPr>
      <w:r w:rsidRPr="000B7BD3">
        <w:rPr>
          <w:rFonts w:asciiTheme="minorHAnsi" w:hAnsiTheme="minorHAnsi"/>
          <w:sz w:val="24"/>
          <w:szCs w:val="24"/>
        </w:rPr>
        <w:t xml:space="preserve">The class will be divided into two groups, Monday and Wednesday. Each is worth up to two points. </w:t>
      </w:r>
      <w:r w:rsidRPr="000B7BD3">
        <w:rPr>
          <w:rFonts w:asciiTheme="minorHAnsi" w:hAnsiTheme="minorHAnsi"/>
          <w:b/>
          <w:sz w:val="24"/>
          <w:szCs w:val="24"/>
        </w:rPr>
        <w:t>You must complete TEN of the thirteen responses; you may skip THREE weeks at your discretion</w:t>
      </w:r>
      <w:r w:rsidRPr="000B7BD3">
        <w:rPr>
          <w:rFonts w:asciiTheme="minorHAnsi" w:hAnsiTheme="minorHAnsi"/>
          <w:sz w:val="24"/>
          <w:szCs w:val="24"/>
        </w:rPr>
        <w:t xml:space="preserve">. If you complete more than ten, I will choose the ten highest grades.  </w:t>
      </w:r>
    </w:p>
    <w:p w14:paraId="58942E1A" w14:textId="77777777" w:rsidR="00306171" w:rsidRPr="000B7BD3" w:rsidRDefault="00306171" w:rsidP="00306171">
      <w:pPr>
        <w:pStyle w:val="NoSpacing"/>
        <w:numPr>
          <w:ilvl w:val="1"/>
          <w:numId w:val="13"/>
        </w:numPr>
        <w:rPr>
          <w:rFonts w:asciiTheme="minorHAnsi" w:hAnsiTheme="minorHAnsi"/>
          <w:sz w:val="24"/>
          <w:szCs w:val="24"/>
        </w:rPr>
      </w:pPr>
      <w:r w:rsidRPr="000B7BD3">
        <w:rPr>
          <w:rFonts w:asciiTheme="minorHAnsi" w:hAnsiTheme="minorHAnsi"/>
          <w:sz w:val="24"/>
          <w:szCs w:val="24"/>
        </w:rPr>
        <w:t xml:space="preserve">Papers will </w:t>
      </w:r>
      <w:proofErr w:type="gramStart"/>
      <w:r w:rsidRPr="000B7BD3">
        <w:rPr>
          <w:rFonts w:asciiTheme="minorHAnsi" w:hAnsiTheme="minorHAnsi"/>
          <w:sz w:val="24"/>
          <w:szCs w:val="24"/>
        </w:rPr>
        <w:t>graded “check -” (1.25/2), “check”</w:t>
      </w:r>
      <w:proofErr w:type="gramEnd"/>
      <w:r w:rsidRPr="000B7BD3">
        <w:rPr>
          <w:rFonts w:asciiTheme="minorHAnsi" w:hAnsiTheme="minorHAnsi"/>
          <w:sz w:val="24"/>
          <w:szCs w:val="24"/>
        </w:rPr>
        <w:t xml:space="preserve"> (1.75/2), and “check +” (2/2).</w:t>
      </w:r>
    </w:p>
    <w:p w14:paraId="47B99128" w14:textId="77777777" w:rsidR="00306171" w:rsidRPr="000B7BD3" w:rsidRDefault="00306171" w:rsidP="00306171">
      <w:pPr>
        <w:pStyle w:val="NoSpacing"/>
        <w:numPr>
          <w:ilvl w:val="1"/>
          <w:numId w:val="13"/>
        </w:numPr>
        <w:rPr>
          <w:rFonts w:asciiTheme="minorHAnsi" w:hAnsiTheme="minorHAnsi"/>
          <w:sz w:val="24"/>
          <w:szCs w:val="24"/>
        </w:rPr>
      </w:pPr>
      <w:r w:rsidRPr="000B7BD3">
        <w:rPr>
          <w:rFonts w:asciiTheme="minorHAnsi" w:hAnsiTheme="minorHAnsi"/>
          <w:sz w:val="24"/>
          <w:szCs w:val="24"/>
        </w:rPr>
        <w:t>You MUST BRING A PAPER COPY OF YOUR RESPONSE TO CLASS</w:t>
      </w:r>
      <w:proofErr w:type="gramStart"/>
      <w:r w:rsidRPr="000B7BD3">
        <w:rPr>
          <w:rFonts w:asciiTheme="minorHAnsi" w:hAnsiTheme="minorHAnsi"/>
          <w:sz w:val="24"/>
          <w:szCs w:val="24"/>
        </w:rPr>
        <w:t>;</w:t>
      </w:r>
      <w:proofErr w:type="gramEnd"/>
      <w:r w:rsidRPr="000B7BD3">
        <w:rPr>
          <w:rFonts w:asciiTheme="minorHAnsi" w:hAnsiTheme="minorHAnsi"/>
          <w:sz w:val="24"/>
          <w:szCs w:val="24"/>
        </w:rPr>
        <w:t xml:space="preserve"> </w:t>
      </w:r>
      <w:r w:rsidRPr="000B7BD3">
        <w:rPr>
          <w:rFonts w:asciiTheme="minorHAnsi" w:hAnsiTheme="minorHAnsi"/>
          <w:sz w:val="24"/>
          <w:szCs w:val="24"/>
          <w:u w:val="single"/>
        </w:rPr>
        <w:t>i</w:t>
      </w:r>
      <w:r w:rsidRPr="000B7BD3">
        <w:rPr>
          <w:rFonts w:asciiTheme="minorHAnsi" w:eastAsia="PMingLiU" w:hAnsiTheme="minorHAnsi"/>
          <w:sz w:val="24"/>
          <w:szCs w:val="24"/>
          <w:u w:val="single"/>
          <w:lang w:eastAsia="zh-MO"/>
        </w:rPr>
        <w:t>f you are absent, you MUST EMAIL ME YOUR RESPONSE PRIOR TO THE START OF CLASS</w:t>
      </w:r>
      <w:r w:rsidRPr="000B7BD3">
        <w:rPr>
          <w:rFonts w:asciiTheme="minorHAnsi" w:eastAsia="PMingLiU" w:hAnsiTheme="minorHAnsi"/>
          <w:sz w:val="24"/>
          <w:szCs w:val="24"/>
          <w:lang w:eastAsia="zh-MO"/>
        </w:rPr>
        <w:t>.</w:t>
      </w:r>
      <w:r w:rsidRPr="000B7BD3">
        <w:rPr>
          <w:rFonts w:asciiTheme="minorHAnsi" w:eastAsia="PMingLiU" w:hAnsiTheme="minorHAnsi"/>
          <w:sz w:val="24"/>
          <w:szCs w:val="24"/>
          <w:u w:val="single"/>
          <w:lang w:eastAsia="zh-MO"/>
        </w:rPr>
        <w:t xml:space="preserve"> Please note that ABSOLUTELY NO LATE PAPERS will be accepted.</w:t>
      </w:r>
      <w:r w:rsidRPr="000B7BD3">
        <w:rPr>
          <w:rFonts w:asciiTheme="minorHAnsi" w:eastAsia="PMingLiU" w:hAnsiTheme="minorHAnsi"/>
          <w:sz w:val="24"/>
          <w:szCs w:val="24"/>
          <w:lang w:eastAsia="zh-MO"/>
        </w:rPr>
        <w:t xml:space="preserve"> </w:t>
      </w:r>
    </w:p>
    <w:p w14:paraId="35029315" w14:textId="099A0774" w:rsidR="00306171" w:rsidRPr="000B7BD3" w:rsidRDefault="00EB06AB" w:rsidP="00306171">
      <w:pPr>
        <w:numPr>
          <w:ilvl w:val="0"/>
          <w:numId w:val="13"/>
        </w:numPr>
        <w:contextualSpacing/>
        <w:rPr>
          <w:i/>
        </w:rPr>
      </w:pPr>
      <w:r w:rsidRPr="000B7BD3">
        <w:rPr>
          <w:i/>
        </w:rPr>
        <w:t>Two Short Papers (4-5 pages) (3</w:t>
      </w:r>
      <w:r w:rsidR="00F36A3F" w:rsidRPr="000B7BD3">
        <w:rPr>
          <w:i/>
        </w:rPr>
        <w:t>0</w:t>
      </w:r>
      <w:r w:rsidR="00306171" w:rsidRPr="000B7BD3">
        <w:rPr>
          <w:i/>
        </w:rPr>
        <w:t>%):</w:t>
      </w:r>
      <w:r w:rsidR="00306171" w:rsidRPr="000B7BD3">
        <w:t xml:space="preserve"> You will write two short papers in this class. More details, including possible topics, will be presented in class two weeks ahead of each due date. </w:t>
      </w:r>
    </w:p>
    <w:p w14:paraId="1B8B1000" w14:textId="0206C188" w:rsidR="00EB06AB" w:rsidRPr="000B7BD3" w:rsidRDefault="00150D8D" w:rsidP="00306171">
      <w:pPr>
        <w:numPr>
          <w:ilvl w:val="0"/>
          <w:numId w:val="13"/>
        </w:numPr>
        <w:contextualSpacing/>
        <w:rPr>
          <w:i/>
        </w:rPr>
      </w:pPr>
      <w:r w:rsidRPr="000B7BD3">
        <w:rPr>
          <w:i/>
        </w:rPr>
        <w:t>A Critical Review Essay (20</w:t>
      </w:r>
      <w:r w:rsidR="002821F5" w:rsidRPr="000B7BD3">
        <w:rPr>
          <w:i/>
        </w:rPr>
        <w:t>%):</w:t>
      </w:r>
      <w:r w:rsidR="00D00071" w:rsidRPr="000B7BD3">
        <w:rPr>
          <w:i/>
        </w:rPr>
        <w:t xml:space="preserve"> </w:t>
      </w:r>
      <w:r w:rsidR="00D00071" w:rsidRPr="000B7BD3">
        <w:t>You will wrote a review essay of about 8 pages, due at the start of the scheduled final exam period. The paper will ask that you choose an issue or topic that we have discussed over the course of the semester and offer an analysis of how it has been central to issues of war and society in U.S. culture since 1945. This paper will require that you connect readings from across the course and that you do some outside research to find additional sources. More details will be distributed in class.</w:t>
      </w:r>
    </w:p>
    <w:p w14:paraId="3ED16784" w14:textId="2C56FE32" w:rsidR="00306171" w:rsidRPr="000B7BD3" w:rsidRDefault="00F36A3F" w:rsidP="00306171">
      <w:pPr>
        <w:numPr>
          <w:ilvl w:val="0"/>
          <w:numId w:val="13"/>
        </w:numPr>
        <w:contextualSpacing/>
        <w:rPr>
          <w:i/>
        </w:rPr>
      </w:pPr>
      <w:r w:rsidRPr="000B7BD3">
        <w:rPr>
          <w:i/>
        </w:rPr>
        <w:t xml:space="preserve">A Final </w:t>
      </w:r>
      <w:r w:rsidR="00EB06AB" w:rsidRPr="000B7BD3">
        <w:rPr>
          <w:i/>
        </w:rPr>
        <w:t>Exam</w:t>
      </w:r>
      <w:r w:rsidRPr="000B7BD3">
        <w:rPr>
          <w:i/>
        </w:rPr>
        <w:t xml:space="preserve"> (</w:t>
      </w:r>
      <w:r w:rsidR="00150D8D" w:rsidRPr="000B7BD3">
        <w:rPr>
          <w:i/>
        </w:rPr>
        <w:t>15</w:t>
      </w:r>
      <w:r w:rsidRPr="000B7BD3">
        <w:rPr>
          <w:i/>
        </w:rPr>
        <w:t xml:space="preserve">%): </w:t>
      </w:r>
      <w:r w:rsidR="00295700" w:rsidRPr="000B7BD3">
        <w:t xml:space="preserve">You will take a final exam at the time scheduled by the registrar. More details will be provided in class. </w:t>
      </w:r>
    </w:p>
    <w:p w14:paraId="3E18EE53" w14:textId="07C513D7" w:rsidR="00EB06AB" w:rsidRPr="000B7BD3" w:rsidRDefault="00EB06AB" w:rsidP="00EB06AB">
      <w:pPr>
        <w:numPr>
          <w:ilvl w:val="0"/>
          <w:numId w:val="18"/>
        </w:numPr>
      </w:pPr>
      <w:r w:rsidRPr="000B7BD3">
        <w:rPr>
          <w:i/>
        </w:rPr>
        <w:t>Active Class Participation (15</w:t>
      </w:r>
      <w:r w:rsidR="002821F5" w:rsidRPr="000B7BD3">
        <w:rPr>
          <w:i/>
        </w:rPr>
        <w:t>%</w:t>
      </w:r>
      <w:r w:rsidRPr="000B7BD3">
        <w:rPr>
          <w:i/>
        </w:rPr>
        <w:t>):</w:t>
      </w:r>
      <w:r w:rsidRPr="000B7BD3">
        <w:t xml:space="preserve"> This course will be primarily discussion-based, and it will thus depend on all of us coming to class each session having prepared by carefully reading and thinking about the course materials. </w:t>
      </w:r>
    </w:p>
    <w:p w14:paraId="5D7BCA68" w14:textId="77777777" w:rsidR="00EB06AB" w:rsidRPr="000B7BD3" w:rsidRDefault="00EB06AB" w:rsidP="00EB06AB">
      <w:pPr>
        <w:numPr>
          <w:ilvl w:val="1"/>
          <w:numId w:val="18"/>
        </w:numPr>
      </w:pPr>
      <w:r w:rsidRPr="000B7BD3">
        <w:t xml:space="preserve">Active, engaged participation means paying close attention to remarks of the instructor and other students, taking notes, offering comments and questions for discussion, and respectfully but critically engaging with the ideas of others. </w:t>
      </w:r>
    </w:p>
    <w:p w14:paraId="7110D2F7" w14:textId="77777777" w:rsidR="00EB06AB" w:rsidRPr="000B7BD3" w:rsidRDefault="00EB06AB" w:rsidP="00EB06AB">
      <w:pPr>
        <w:numPr>
          <w:ilvl w:val="1"/>
          <w:numId w:val="18"/>
        </w:numPr>
      </w:pPr>
      <w:r w:rsidRPr="000B7BD3">
        <w:rPr>
          <w:b/>
        </w:rPr>
        <w:t>My expectation is that every member of the class will contribute to class discussion in every session, and that those contributions will demonstrate the students’ thoughtful engagement with the course readings</w:t>
      </w:r>
      <w:r w:rsidRPr="000B7BD3">
        <w:t xml:space="preserve">. As such, this will be the standard for “B” quality participation; the overall quality of the comments and questions offered will enable students to earn higher grades. </w:t>
      </w:r>
    </w:p>
    <w:p w14:paraId="2D7A501B" w14:textId="77777777" w:rsidR="00EB06AB" w:rsidRPr="000B7BD3" w:rsidRDefault="00EB06AB" w:rsidP="00EB06AB">
      <w:pPr>
        <w:numPr>
          <w:ilvl w:val="1"/>
          <w:numId w:val="18"/>
        </w:numPr>
      </w:pPr>
      <w:r w:rsidRPr="000B7BD3">
        <w:t>You will receive a grade each day for class participation:</w:t>
      </w:r>
    </w:p>
    <w:p w14:paraId="485FF7BF" w14:textId="77777777" w:rsidR="00EB06AB" w:rsidRPr="000B7BD3" w:rsidRDefault="00EB06AB" w:rsidP="00EB06AB">
      <w:pPr>
        <w:pStyle w:val="ListParagraph"/>
        <w:numPr>
          <w:ilvl w:val="2"/>
          <w:numId w:val="18"/>
        </w:numPr>
      </w:pPr>
      <w:r w:rsidRPr="000B7BD3">
        <w:t>0: The Student is absent or disruptive.</w:t>
      </w:r>
    </w:p>
    <w:p w14:paraId="24B02F5B" w14:textId="77777777" w:rsidR="00EB06AB" w:rsidRPr="000B7BD3" w:rsidRDefault="00EB06AB" w:rsidP="00EB06AB">
      <w:pPr>
        <w:pStyle w:val="ListParagraph"/>
        <w:numPr>
          <w:ilvl w:val="2"/>
          <w:numId w:val="18"/>
        </w:numPr>
      </w:pPr>
      <w:r w:rsidRPr="000B7BD3">
        <w:t>1: The Student is obviously distracted.</w:t>
      </w:r>
    </w:p>
    <w:p w14:paraId="16158F27" w14:textId="77777777" w:rsidR="00EB06AB" w:rsidRPr="000B7BD3" w:rsidRDefault="00EB06AB" w:rsidP="00EB06AB">
      <w:pPr>
        <w:pStyle w:val="ListParagraph"/>
        <w:numPr>
          <w:ilvl w:val="2"/>
          <w:numId w:val="18"/>
        </w:numPr>
      </w:pPr>
      <w:r w:rsidRPr="000B7BD3">
        <w:rPr>
          <w:rFonts w:cs="Lucida Grande"/>
        </w:rPr>
        <w:t>2</w:t>
      </w:r>
      <w:r w:rsidRPr="000B7BD3">
        <w:rPr>
          <w:i/>
        </w:rPr>
        <w:t>:</w:t>
      </w:r>
      <w:r w:rsidRPr="000B7BD3">
        <w:t xml:space="preserve"> The Student is engaged and attentive but does not speak. Alternately, the student offers comments for discussion that display a lack of preparation or which inhibit the discussion.</w:t>
      </w:r>
    </w:p>
    <w:p w14:paraId="54217D85" w14:textId="77777777" w:rsidR="00EB06AB" w:rsidRPr="000B7BD3" w:rsidRDefault="00EB06AB" w:rsidP="00EB06AB">
      <w:pPr>
        <w:pStyle w:val="ListParagraph"/>
        <w:numPr>
          <w:ilvl w:val="2"/>
          <w:numId w:val="18"/>
        </w:numPr>
        <w:rPr>
          <w:u w:val="single"/>
        </w:rPr>
      </w:pPr>
      <w:r w:rsidRPr="000B7BD3">
        <w:t>3</w:t>
      </w:r>
      <w:r w:rsidRPr="000B7BD3">
        <w:rPr>
          <w:i/>
        </w:rPr>
        <w:t>:</w:t>
      </w:r>
      <w:r w:rsidRPr="000B7BD3">
        <w:t xml:space="preserve"> The Student offers one or a few meaningful, contributory comments and questions during the discussion and demonstrates that s/he has prepared for class.</w:t>
      </w:r>
    </w:p>
    <w:p w14:paraId="23D9338E" w14:textId="77777777" w:rsidR="00EB06AB" w:rsidRPr="000B7BD3" w:rsidRDefault="00EB06AB" w:rsidP="00EB06AB">
      <w:pPr>
        <w:pStyle w:val="ListParagraph"/>
        <w:numPr>
          <w:ilvl w:val="2"/>
          <w:numId w:val="18"/>
        </w:numPr>
        <w:rPr>
          <w:u w:val="single"/>
        </w:rPr>
      </w:pPr>
      <w:r w:rsidRPr="000B7BD3">
        <w:t>4</w:t>
      </w:r>
      <w:r w:rsidRPr="000B7BD3">
        <w:rPr>
          <w:i/>
        </w:rPr>
        <w:t>:</w:t>
      </w:r>
      <w:r w:rsidRPr="000B7BD3">
        <w:t xml:space="preserve"> The Student offers several meaningful, contributory comments during discussion and/or displays particular insight.</w:t>
      </w:r>
    </w:p>
    <w:p w14:paraId="5E9B9910" w14:textId="77777777" w:rsidR="00EB06AB" w:rsidRPr="000B7BD3" w:rsidRDefault="00EB06AB" w:rsidP="00EB06AB">
      <w:pPr>
        <w:ind w:left="1080"/>
      </w:pPr>
      <w:r w:rsidRPr="000B7BD3">
        <w:t xml:space="preserve">Because everyone has bad days, I will count the </w:t>
      </w:r>
      <w:r w:rsidRPr="000B7BD3">
        <w:rPr>
          <w:u w:val="single"/>
        </w:rPr>
        <w:t>twenty-five highest grades</w:t>
      </w:r>
      <w:r w:rsidRPr="000B7BD3">
        <w:t xml:space="preserve"> towards your final grade. As well, I will take into account improvement over the course of the semester.</w:t>
      </w:r>
    </w:p>
    <w:p w14:paraId="124BE9C9" w14:textId="77777777" w:rsidR="00EB06AB" w:rsidRPr="000B7BD3" w:rsidRDefault="00EB06AB" w:rsidP="00EB06AB">
      <w:pPr>
        <w:ind w:left="1080"/>
      </w:pPr>
    </w:p>
    <w:p w14:paraId="055477E0" w14:textId="77777777" w:rsidR="00EB06AB" w:rsidRPr="000B7BD3" w:rsidRDefault="00EB06AB" w:rsidP="00EB06AB">
      <w:pPr>
        <w:ind w:left="1080"/>
      </w:pPr>
      <w:r w:rsidRPr="000B7BD3">
        <w:t>A few notes on class participation:</w:t>
      </w:r>
    </w:p>
    <w:p w14:paraId="1487742A" w14:textId="77777777" w:rsidR="00EB06AB" w:rsidRPr="000B7BD3" w:rsidRDefault="00EB06AB" w:rsidP="00EB06AB">
      <w:pPr>
        <w:ind w:left="1080"/>
      </w:pPr>
    </w:p>
    <w:p w14:paraId="2B80340B" w14:textId="77777777" w:rsidR="00EB06AB" w:rsidRPr="000B7BD3" w:rsidRDefault="00EB06AB" w:rsidP="00EB06AB">
      <w:pPr>
        <w:pStyle w:val="ListParagraph"/>
        <w:numPr>
          <w:ilvl w:val="0"/>
          <w:numId w:val="20"/>
        </w:numPr>
      </w:pPr>
      <w:r w:rsidRPr="000B7BD3">
        <w:t xml:space="preserve">Please note as well that in this course, we will read, view, and discuss materials that often deal with disturbing and at times </w:t>
      </w:r>
      <w:proofErr w:type="gramStart"/>
      <w:r w:rsidRPr="000B7BD3">
        <w:t>politically-charged</w:t>
      </w:r>
      <w:proofErr w:type="gramEnd"/>
      <w:r w:rsidRPr="000B7BD3">
        <w:t xml:space="preserve"> subjects. It is inevitable that these materials will evoke a personal response from us, and it is important to be aware that that response may be unsettling, may prove challenging to come to terms with, and might not be universally shared by your colleagues. The success of the course depends in large part on our striving to be aware of and sensitive to our responses to these reactions as well as those of our colleagues, to interrogate </w:t>
      </w:r>
      <w:r w:rsidRPr="000B7BD3">
        <w:rPr>
          <w:i/>
        </w:rPr>
        <w:t>why</w:t>
      </w:r>
      <w:r w:rsidRPr="000B7BD3">
        <w:t xml:space="preserve"> we are responding as we are, and to encourage ourselves and each other to read and discuss these materials in a way that produces positive intellectual and personal growth while remaining respectful of differences of opinion.</w:t>
      </w:r>
    </w:p>
    <w:p w14:paraId="70595A18" w14:textId="77777777" w:rsidR="00EB06AB" w:rsidRPr="000B7BD3" w:rsidRDefault="00EB06AB" w:rsidP="00EB06AB">
      <w:pPr>
        <w:pStyle w:val="NormalWeb"/>
        <w:numPr>
          <w:ilvl w:val="0"/>
          <w:numId w:val="20"/>
        </w:numPr>
        <w:rPr>
          <w:rFonts w:asciiTheme="minorHAnsi" w:hAnsiTheme="minorHAnsi"/>
          <w:sz w:val="24"/>
          <w:szCs w:val="24"/>
        </w:rPr>
      </w:pPr>
      <w:proofErr w:type="spellStart"/>
      <w:r w:rsidRPr="000B7BD3">
        <w:rPr>
          <w:rFonts w:asciiTheme="minorHAnsi" w:hAnsiTheme="minorHAnsi"/>
          <w:sz w:val="24"/>
          <w:szCs w:val="24"/>
        </w:rPr>
        <w:t>Microaggressions</w:t>
      </w:r>
      <w:proofErr w:type="spellEnd"/>
      <w:r w:rsidRPr="000B7BD3">
        <w:rPr>
          <w:rFonts w:asciiTheme="minorHAnsi" w:hAnsiTheme="minorHAnsi"/>
          <w:sz w:val="24"/>
          <w:szCs w:val="24"/>
        </w:rPr>
        <w:t>:</w:t>
      </w:r>
      <w:r w:rsidRPr="000B7BD3">
        <w:rPr>
          <w:rStyle w:val="FootnoteReference"/>
          <w:rFonts w:asciiTheme="minorHAnsi" w:hAnsiTheme="minorHAnsi"/>
          <w:sz w:val="24"/>
          <w:szCs w:val="24"/>
        </w:rPr>
        <w:footnoteReference w:id="1"/>
      </w:r>
      <w:r w:rsidRPr="000B7BD3">
        <w:rPr>
          <w:rFonts w:asciiTheme="minorHAnsi" w:hAnsiTheme="minorHAnsi"/>
          <w:sz w:val="24"/>
          <w:szCs w:val="24"/>
        </w:rPr>
        <w:t xml:space="preserve"> Please be aware of, and sensitive to, </w:t>
      </w:r>
      <w:proofErr w:type="spellStart"/>
      <w:r w:rsidRPr="000B7BD3">
        <w:rPr>
          <w:rFonts w:asciiTheme="minorHAnsi" w:hAnsiTheme="minorHAnsi"/>
          <w:sz w:val="24"/>
          <w:szCs w:val="24"/>
        </w:rPr>
        <w:t>microaggressions</w:t>
      </w:r>
      <w:proofErr w:type="spellEnd"/>
      <w:r w:rsidRPr="000B7BD3">
        <w:rPr>
          <w:rFonts w:asciiTheme="minorHAnsi" w:hAnsiTheme="minorHAnsi"/>
          <w:sz w:val="24"/>
          <w:szCs w:val="24"/>
        </w:rPr>
        <w:t xml:space="preserve"> in the classroom (and, for that matter, elsewhere). “</w:t>
      </w:r>
      <w:proofErr w:type="spellStart"/>
      <w:r w:rsidRPr="000B7BD3">
        <w:rPr>
          <w:rFonts w:asciiTheme="minorHAnsi" w:hAnsiTheme="minorHAnsi"/>
          <w:sz w:val="24"/>
          <w:szCs w:val="24"/>
        </w:rPr>
        <w:t>Microaggressions</w:t>
      </w:r>
      <w:proofErr w:type="spellEnd"/>
      <w:r w:rsidRPr="000B7BD3">
        <w:rPr>
          <w:rFonts w:asciiTheme="minorHAnsi" w:hAnsiTheme="minorHAnsi"/>
          <w:sz w:val="24"/>
          <w:szCs w:val="24"/>
        </w:rPr>
        <w:t xml:space="preserve">,” according to </w:t>
      </w:r>
      <w:r w:rsidRPr="000B7BD3">
        <w:rPr>
          <w:rFonts w:asciiTheme="minorHAnsi" w:hAnsiTheme="minorHAnsi"/>
          <w:i/>
          <w:sz w:val="24"/>
          <w:szCs w:val="24"/>
        </w:rPr>
        <w:t>Psychology Today</w:t>
      </w:r>
      <w:r w:rsidRPr="000B7BD3">
        <w:rPr>
          <w:rFonts w:asciiTheme="minorHAnsi" w:hAnsiTheme="minorHAnsi"/>
          <w:sz w:val="24"/>
          <w:szCs w:val="24"/>
        </w:rPr>
        <w:t>, “</w:t>
      </w:r>
      <w:r w:rsidRPr="000B7BD3">
        <w:rPr>
          <w:rFonts w:asciiTheme="minorHAnsi" w:hAnsiTheme="minorHAnsi" w:cs="Arial"/>
          <w:sz w:val="24"/>
          <w:szCs w:val="24"/>
        </w:rPr>
        <w:t>are the everyday verbal, nonverbal, and environmental slights, snubs, or insults, whether intentional or unintentional, which communicate hostile, derogatory, or negative messages to target persons based solely upon their marginalized group membership.”</w:t>
      </w:r>
      <w:r w:rsidRPr="000B7BD3">
        <w:rPr>
          <w:rStyle w:val="FootnoteReference"/>
          <w:rFonts w:asciiTheme="minorHAnsi" w:hAnsiTheme="minorHAnsi" w:cs="Arial"/>
          <w:sz w:val="24"/>
          <w:szCs w:val="24"/>
        </w:rPr>
        <w:footnoteReference w:id="2"/>
      </w:r>
      <w:r w:rsidRPr="000B7BD3">
        <w:rPr>
          <w:rFonts w:asciiTheme="minorHAnsi" w:hAnsiTheme="minorHAnsi" w:cs="Arial"/>
          <w:sz w:val="24"/>
          <w:szCs w:val="24"/>
        </w:rPr>
        <w:t xml:space="preserve"> They are often intended to be innocuous, or even complimentary. However, comments like </w:t>
      </w:r>
      <w:r w:rsidRPr="000B7BD3">
        <w:rPr>
          <w:rFonts w:asciiTheme="minorHAnsi" w:hAnsiTheme="minorHAnsi"/>
          <w:sz w:val="24"/>
          <w:szCs w:val="24"/>
        </w:rPr>
        <w:t>“You speak good English,” “When I look at you, I don’t see color,” or “I’m not a racist. I have several Black friends” are, in turn, derogatory and insulting, denials of the ways in which identity differences are manifest and real, and elisions of the speaker’s privilege.</w:t>
      </w:r>
      <w:r w:rsidRPr="000B7BD3">
        <w:rPr>
          <w:rStyle w:val="FootnoteReference"/>
          <w:rFonts w:asciiTheme="minorHAnsi" w:hAnsiTheme="minorHAnsi"/>
          <w:sz w:val="24"/>
          <w:szCs w:val="24"/>
        </w:rPr>
        <w:footnoteReference w:id="3"/>
      </w:r>
      <w:r w:rsidRPr="000B7BD3">
        <w:rPr>
          <w:rFonts w:asciiTheme="minorHAnsi" w:hAnsiTheme="minorHAnsi"/>
          <w:sz w:val="24"/>
          <w:szCs w:val="24"/>
        </w:rPr>
        <w:t xml:space="preserve"> I encourage you to be cognizant of the assumptions hat underlie your thinking, to consider how your comments might be perceived, and to work towards engagements that in which you are consciously respectful of difference and privilege. If you find that you are experiencing a </w:t>
      </w:r>
      <w:proofErr w:type="spellStart"/>
      <w:r w:rsidRPr="000B7BD3">
        <w:rPr>
          <w:rFonts w:asciiTheme="minorHAnsi" w:hAnsiTheme="minorHAnsi"/>
          <w:sz w:val="24"/>
          <w:szCs w:val="24"/>
        </w:rPr>
        <w:t>microaggression</w:t>
      </w:r>
      <w:proofErr w:type="spellEnd"/>
      <w:r w:rsidRPr="000B7BD3">
        <w:rPr>
          <w:rFonts w:asciiTheme="minorHAnsi" w:hAnsiTheme="minorHAnsi"/>
          <w:sz w:val="24"/>
          <w:szCs w:val="24"/>
        </w:rPr>
        <w:t xml:space="preserve"> or witness one, I would encourage you to respond in the way that you feel most comfortable. You might speak </w:t>
      </w:r>
      <w:proofErr w:type="gramStart"/>
      <w:r w:rsidRPr="000B7BD3">
        <w:rPr>
          <w:rFonts w:asciiTheme="minorHAnsi" w:hAnsiTheme="minorHAnsi"/>
          <w:sz w:val="24"/>
          <w:szCs w:val="24"/>
        </w:rPr>
        <w:t>with me or someone in the office of Diversity Programs and Multicultural Affairs</w:t>
      </w:r>
      <w:proofErr w:type="gramEnd"/>
      <w:r w:rsidRPr="000B7BD3">
        <w:rPr>
          <w:rFonts w:asciiTheme="minorHAnsi" w:hAnsiTheme="minorHAnsi"/>
          <w:sz w:val="24"/>
          <w:szCs w:val="24"/>
        </w:rPr>
        <w:t xml:space="preserve"> (</w:t>
      </w:r>
      <w:hyperlink r:id="rId8" w:history="1">
        <w:r w:rsidRPr="000B7BD3">
          <w:rPr>
            <w:rStyle w:val="Hyperlink"/>
            <w:rFonts w:asciiTheme="minorHAnsi" w:hAnsiTheme="minorHAnsi"/>
            <w:sz w:val="24"/>
            <w:szCs w:val="24"/>
          </w:rPr>
          <w:t>http://www.washjeff.edu/diversity-programs</w:t>
        </w:r>
      </w:hyperlink>
      <w:r w:rsidRPr="000B7BD3">
        <w:rPr>
          <w:rFonts w:asciiTheme="minorHAnsi" w:hAnsiTheme="minorHAnsi"/>
          <w:sz w:val="24"/>
          <w:szCs w:val="24"/>
        </w:rPr>
        <w:t xml:space="preserve">). You might use it as a teachable moment, and constructively engage the other person in dialogue. In each case, what is important is that we strive for a classroom and campus environment in which all identities and perspectives are respected and valued. </w:t>
      </w:r>
    </w:p>
    <w:p w14:paraId="688C8C70" w14:textId="583B2D9C" w:rsidR="00EB06AB" w:rsidRPr="000B7BD3" w:rsidRDefault="00EB06AB" w:rsidP="00150D8D">
      <w:pPr>
        <w:pStyle w:val="ListParagraph"/>
        <w:numPr>
          <w:ilvl w:val="0"/>
          <w:numId w:val="20"/>
        </w:numPr>
      </w:pPr>
      <w:r w:rsidRPr="000B7BD3">
        <w:t>I understand that class participation is difficult for some people, and I am happy to meet with you to discuss ways in which you might improve the quality or quantity of your participation.</w:t>
      </w:r>
      <w:r w:rsidRPr="000B7BD3">
        <w:rPr>
          <w:i/>
        </w:rPr>
        <w:br/>
      </w:r>
    </w:p>
    <w:p w14:paraId="72F49049" w14:textId="77777777" w:rsidR="00EB06AB" w:rsidRPr="000B7BD3" w:rsidRDefault="00EB06AB" w:rsidP="00EB06AB">
      <w:pPr>
        <w:rPr>
          <w:b/>
        </w:rPr>
      </w:pPr>
      <w:r w:rsidRPr="000B7BD3">
        <w:rPr>
          <w:b/>
        </w:rPr>
        <w:t>Course Policies:</w:t>
      </w:r>
    </w:p>
    <w:p w14:paraId="149AB365" w14:textId="58810650" w:rsidR="009E02C6" w:rsidRPr="000B7BD3" w:rsidRDefault="009E02C6" w:rsidP="009E02C6">
      <w:r w:rsidRPr="000B7BD3">
        <w:t>My understanding is tha</w:t>
      </w:r>
      <w:r w:rsidRPr="000B7BD3">
        <w:rPr>
          <w:i/>
        </w:rPr>
        <w:t>t by remaining enrolled in the course, you agree to adhere to the following policies.</w:t>
      </w:r>
      <w:r w:rsidRPr="000B7BD3">
        <w:t xml:space="preserve"> It is your responsibility to read the syllabus and be aware of policies, assignments, due dates, etc. To that end, please be sure that you read the syllabus in its entirety and make note in your calendar of important dates. When you have finished reading the syllabus, please email me a picture of a dinosaur.</w:t>
      </w:r>
    </w:p>
    <w:p w14:paraId="68DC13BC" w14:textId="77777777" w:rsidR="009E02C6" w:rsidRPr="000B7BD3" w:rsidRDefault="009E02C6" w:rsidP="009E02C6">
      <w:pPr>
        <w:rPr>
          <w:b/>
        </w:rPr>
      </w:pPr>
    </w:p>
    <w:p w14:paraId="3D911068" w14:textId="77777777" w:rsidR="00EB06AB" w:rsidRPr="000B7BD3" w:rsidRDefault="00EB06AB" w:rsidP="00EB06AB">
      <w:pPr>
        <w:numPr>
          <w:ilvl w:val="0"/>
          <w:numId w:val="19"/>
        </w:numPr>
        <w:spacing w:after="200" w:line="276" w:lineRule="auto"/>
        <w:contextualSpacing/>
      </w:pPr>
      <w:r w:rsidRPr="000B7BD3">
        <w:rPr>
          <w:b/>
        </w:rPr>
        <w:t>Attendance is required</w:t>
      </w:r>
      <w:r w:rsidRPr="000B7BD3">
        <w:rPr>
          <w:i/>
        </w:rPr>
        <w:t xml:space="preserve">. </w:t>
      </w:r>
      <w:r w:rsidRPr="000B7BD3">
        <w:t xml:space="preserve">You may miss </w:t>
      </w:r>
      <w:r w:rsidRPr="000B7BD3">
        <w:rPr>
          <w:b/>
        </w:rPr>
        <w:t>FOUR</w:t>
      </w:r>
      <w:r w:rsidRPr="000B7BD3">
        <w:t xml:space="preserve"> classes without penalty, and no excuses or explanations are required regarding your absence. </w:t>
      </w:r>
      <w:r w:rsidRPr="000B7BD3">
        <w:rPr>
          <w:u w:val="single"/>
        </w:rPr>
        <w:t xml:space="preserve">Beginning with your </w:t>
      </w:r>
      <w:r w:rsidRPr="000B7BD3">
        <w:rPr>
          <w:b/>
          <w:u w:val="single"/>
        </w:rPr>
        <w:t>FIFTH</w:t>
      </w:r>
      <w:r w:rsidRPr="000B7BD3">
        <w:rPr>
          <w:u w:val="single"/>
        </w:rPr>
        <w:t xml:space="preserve"> absence, your final grade will fall by 1/3 (e.g. from a </w:t>
      </w:r>
      <w:r w:rsidRPr="000B7BD3">
        <w:rPr>
          <w:i/>
          <w:u w:val="single"/>
        </w:rPr>
        <w:t xml:space="preserve">B </w:t>
      </w:r>
      <w:r w:rsidRPr="000B7BD3">
        <w:rPr>
          <w:u w:val="single"/>
        </w:rPr>
        <w:t>to a</w:t>
      </w:r>
      <w:r w:rsidRPr="000B7BD3">
        <w:rPr>
          <w:i/>
          <w:u w:val="single"/>
        </w:rPr>
        <w:t xml:space="preserve"> B-) </w:t>
      </w:r>
      <w:r w:rsidRPr="000B7BD3">
        <w:rPr>
          <w:u w:val="single"/>
        </w:rPr>
        <w:t xml:space="preserve">with </w:t>
      </w:r>
      <w:r w:rsidRPr="000B7BD3">
        <w:rPr>
          <w:i/>
          <w:u w:val="single"/>
        </w:rPr>
        <w:t xml:space="preserve">each </w:t>
      </w:r>
      <w:r w:rsidRPr="000B7BD3">
        <w:rPr>
          <w:u w:val="single"/>
        </w:rPr>
        <w:t>absence</w:t>
      </w:r>
      <w:r w:rsidRPr="000B7BD3">
        <w:t xml:space="preserve">. Repeated absences could, therefore, result in a failing grade </w:t>
      </w:r>
      <w:r w:rsidRPr="000B7BD3">
        <w:rPr>
          <w:i/>
        </w:rPr>
        <w:t>regardless of your other work in the course</w:t>
      </w:r>
      <w:r w:rsidRPr="000B7BD3">
        <w:t>. In extraordinary circumstances (i.e. extreme illness, death in the family), this policy may be waived pending appropriate documentation.</w:t>
      </w:r>
    </w:p>
    <w:p w14:paraId="012F2879" w14:textId="77777777" w:rsidR="00EB06AB" w:rsidRPr="000B7BD3" w:rsidRDefault="00EB06AB" w:rsidP="00EB06AB">
      <w:pPr>
        <w:numPr>
          <w:ilvl w:val="0"/>
          <w:numId w:val="19"/>
        </w:numPr>
        <w:spacing w:after="200" w:line="276" w:lineRule="auto"/>
        <w:contextualSpacing/>
      </w:pPr>
      <w:r w:rsidRPr="000B7BD3">
        <w:rPr>
          <w:b/>
        </w:rPr>
        <w:t>Late Arrival to Class:</w:t>
      </w:r>
      <w:r w:rsidRPr="000B7BD3">
        <w:rPr>
          <w:i/>
        </w:rPr>
        <w:t xml:space="preserve"> </w:t>
      </w:r>
      <w:r w:rsidRPr="000B7BD3">
        <w:t xml:space="preserve">Class will start promptly at the scheduled time. I expect you to arrive in class on time and prepared. If you are late, please enter the room and take a seat near the door in order to cause as little disruption as possible. I will excuse one late arrival. </w:t>
      </w:r>
      <w:r w:rsidRPr="000B7BD3">
        <w:rPr>
          <w:u w:val="single"/>
        </w:rPr>
        <w:t>Beginning with the second late arrival, I will deduct one point from your final grade for class participation each time that you are late</w:t>
      </w:r>
      <w:r w:rsidRPr="000B7BD3">
        <w:t>.</w:t>
      </w:r>
    </w:p>
    <w:p w14:paraId="09305066" w14:textId="77777777" w:rsidR="00EB06AB" w:rsidRPr="000B7BD3" w:rsidRDefault="00EB06AB" w:rsidP="00EB06AB">
      <w:pPr>
        <w:numPr>
          <w:ilvl w:val="0"/>
          <w:numId w:val="19"/>
        </w:numPr>
        <w:spacing w:after="200" w:line="276" w:lineRule="auto"/>
        <w:contextualSpacing/>
      </w:pPr>
      <w:r w:rsidRPr="000B7BD3">
        <w:rPr>
          <w:b/>
        </w:rPr>
        <w:t>Distractions and the like:</w:t>
      </w:r>
      <w:r w:rsidRPr="000B7BD3">
        <w:t xml:space="preserve"> It pains me to have to include this on a syllabus, but it is increasingly necessary to remind students that class meetings should be spent paying careful attention to and participating in class activities. Other activities – checking your email, updating Facebook, trying to finish an assignment, sleeping, reading the </w:t>
      </w:r>
      <w:r w:rsidRPr="000B7BD3">
        <w:rPr>
          <w:i/>
        </w:rPr>
        <w:t>New York Times</w:t>
      </w:r>
      <w:r w:rsidRPr="000B7BD3">
        <w:t xml:space="preserve">, sending text messages, doing a crossword puzzle, shoe shopping – disrespect the instructor, your colleagues, and the overall purpose of higher education. </w:t>
      </w:r>
      <w:r w:rsidRPr="000B7BD3">
        <w:rPr>
          <w:u w:val="single"/>
        </w:rPr>
        <w:t>Participation in such activities will be construed as evidence of your lack on engagement in the course and will be taken into account in the evaluation of your participation</w:t>
      </w:r>
      <w:r w:rsidRPr="000B7BD3">
        <w:t>.</w:t>
      </w:r>
    </w:p>
    <w:p w14:paraId="1D891381" w14:textId="77777777" w:rsidR="00EB06AB" w:rsidRPr="000B7BD3" w:rsidRDefault="00EB06AB" w:rsidP="00EB06AB">
      <w:pPr>
        <w:numPr>
          <w:ilvl w:val="0"/>
          <w:numId w:val="19"/>
        </w:numPr>
        <w:spacing w:after="200" w:line="276" w:lineRule="auto"/>
        <w:contextualSpacing/>
      </w:pPr>
      <w:r w:rsidRPr="000B7BD3">
        <w:rPr>
          <w:b/>
        </w:rPr>
        <w:t xml:space="preserve">Electronic Devices: </w:t>
      </w:r>
      <w:r w:rsidRPr="000B7BD3">
        <w:t xml:space="preserve">To promote discussion and help you avoid distraction, I do not allow the use of laptops in class without written authorization that they are necessary for your academic success. Students should silence and put away cell phones, etc. Recording of any portion of the course in any form is not allowed without the written permission of the instructor and all members of the class. Use of electronic devices in class </w:t>
      </w:r>
      <w:r w:rsidRPr="000B7BD3">
        <w:rPr>
          <w:u w:val="single"/>
        </w:rPr>
        <w:t>will be construed as evidence of your lack on engagement in the course and will be taken into account in the evaluation of your participation</w:t>
      </w:r>
      <w:r w:rsidRPr="000B7BD3">
        <w:t>.</w:t>
      </w:r>
    </w:p>
    <w:p w14:paraId="2EBDEE8E" w14:textId="77777777" w:rsidR="00EB06AB" w:rsidRPr="000B7BD3" w:rsidRDefault="00EB06AB" w:rsidP="00EB06AB">
      <w:pPr>
        <w:numPr>
          <w:ilvl w:val="0"/>
          <w:numId w:val="19"/>
        </w:numPr>
        <w:spacing w:after="200" w:line="276" w:lineRule="auto"/>
        <w:contextualSpacing/>
      </w:pPr>
      <w:r w:rsidRPr="000B7BD3">
        <w:rPr>
          <w:b/>
        </w:rPr>
        <w:t xml:space="preserve">Extensions: </w:t>
      </w:r>
      <w:r w:rsidRPr="000B7BD3">
        <w:rPr>
          <w:u w:val="single"/>
        </w:rPr>
        <w:t>Extensions will be given only under the most extraordinary circumstances.</w:t>
      </w:r>
      <w:r w:rsidRPr="000B7BD3">
        <w:t xml:space="preserve"> Please note:</w:t>
      </w:r>
    </w:p>
    <w:p w14:paraId="47757FA3" w14:textId="77777777" w:rsidR="00EB06AB" w:rsidRPr="000B7BD3" w:rsidRDefault="00EB06AB" w:rsidP="00EB06AB">
      <w:pPr>
        <w:numPr>
          <w:ilvl w:val="1"/>
          <w:numId w:val="19"/>
        </w:numPr>
        <w:spacing w:after="200" w:line="276" w:lineRule="auto"/>
        <w:contextualSpacing/>
      </w:pPr>
      <w:r w:rsidRPr="000B7BD3">
        <w:rPr>
          <w:i/>
        </w:rPr>
        <w:t>I will be the sole judge of what constitutes an extraordinary circumstance</w:t>
      </w:r>
      <w:r w:rsidRPr="000B7BD3">
        <w:t>. In most cases, my granting an extension will require that you submit a note from a doctor or other appropriate official.</w:t>
      </w:r>
    </w:p>
    <w:p w14:paraId="01AE5B56" w14:textId="77777777" w:rsidR="00EB06AB" w:rsidRPr="000B7BD3" w:rsidRDefault="00EB06AB" w:rsidP="00EB06AB">
      <w:pPr>
        <w:numPr>
          <w:ilvl w:val="1"/>
          <w:numId w:val="19"/>
        </w:numPr>
        <w:spacing w:after="200" w:line="276" w:lineRule="auto"/>
        <w:contextualSpacing/>
      </w:pPr>
      <w:r w:rsidRPr="000B7BD3">
        <w:rPr>
          <w:i/>
        </w:rPr>
        <w:t>Extensions must be negotiated in advance of the date that an assignment is due</w:t>
      </w:r>
      <w:r w:rsidRPr="000B7BD3">
        <w:t xml:space="preserve">. </w:t>
      </w:r>
    </w:p>
    <w:p w14:paraId="18F29636" w14:textId="77777777" w:rsidR="00EB06AB" w:rsidRPr="000B7BD3" w:rsidRDefault="00EB06AB" w:rsidP="00EB06AB">
      <w:pPr>
        <w:numPr>
          <w:ilvl w:val="1"/>
          <w:numId w:val="19"/>
        </w:numPr>
        <w:spacing w:after="200" w:line="276" w:lineRule="auto"/>
        <w:contextualSpacing/>
      </w:pPr>
      <w:r w:rsidRPr="000B7BD3">
        <w:rPr>
          <w:i/>
        </w:rPr>
        <w:t>Sending me an email or leaving me a voice mail does not constitute “negotiating” an extension</w:t>
      </w:r>
      <w:r w:rsidRPr="000B7BD3">
        <w:t>. Unless you we have spoken and agreed on a new date, the original date stands.</w:t>
      </w:r>
    </w:p>
    <w:p w14:paraId="2D79504A" w14:textId="77777777" w:rsidR="00EB06AB" w:rsidRPr="000B7BD3" w:rsidRDefault="00EB06AB" w:rsidP="00EB06AB">
      <w:pPr>
        <w:numPr>
          <w:ilvl w:val="1"/>
          <w:numId w:val="19"/>
        </w:numPr>
        <w:spacing w:after="200" w:line="276" w:lineRule="auto"/>
        <w:contextualSpacing/>
      </w:pPr>
      <w:r w:rsidRPr="000B7BD3">
        <w:rPr>
          <w:i/>
        </w:rPr>
        <w:t>If you are seeking an extension within 48 hours of the date an assignment is due, you should be prepared to submit your work to that point</w:t>
      </w:r>
      <w:r w:rsidRPr="000B7BD3">
        <w:t xml:space="preserve"> (e.g. an outline or draft of the paper, etc.).</w:t>
      </w:r>
    </w:p>
    <w:p w14:paraId="2209F9FB" w14:textId="77777777" w:rsidR="00EB06AB" w:rsidRPr="000B7BD3" w:rsidRDefault="00EB06AB" w:rsidP="00EB06AB">
      <w:pPr>
        <w:numPr>
          <w:ilvl w:val="1"/>
          <w:numId w:val="19"/>
        </w:numPr>
        <w:spacing w:after="200" w:line="276" w:lineRule="auto"/>
        <w:contextualSpacing/>
      </w:pPr>
      <w:r w:rsidRPr="000B7BD3">
        <w:rPr>
          <w:i/>
        </w:rPr>
        <w:t>Malfunctioning computers, printers and so on are not reasonable grounds for an extension</w:t>
      </w:r>
      <w:r w:rsidRPr="000B7BD3">
        <w:t xml:space="preserve">. Save your work regularly and in multiple locations, including to the cloud, and be prepared to print your work in a computer lab if necessary. </w:t>
      </w:r>
    </w:p>
    <w:p w14:paraId="73C7D684" w14:textId="77777777" w:rsidR="00EB06AB" w:rsidRPr="000B7BD3" w:rsidRDefault="00EB06AB" w:rsidP="00EB06AB">
      <w:pPr>
        <w:numPr>
          <w:ilvl w:val="0"/>
          <w:numId w:val="19"/>
        </w:numPr>
        <w:spacing w:after="200" w:line="276" w:lineRule="auto"/>
        <w:contextualSpacing/>
      </w:pPr>
      <w:r w:rsidRPr="000B7BD3">
        <w:rPr>
          <w:b/>
        </w:rPr>
        <w:t>Late Work:</w:t>
      </w:r>
      <w:r w:rsidRPr="000B7BD3">
        <w:rPr>
          <w:i/>
        </w:rPr>
        <w:t xml:space="preserve"> </w:t>
      </w:r>
      <w:r w:rsidRPr="000B7BD3">
        <w:rPr>
          <w:u w:val="single"/>
        </w:rPr>
        <w:t>Late work will not be accepted</w:t>
      </w:r>
      <w:r w:rsidRPr="000B7BD3">
        <w:t>. It is your responsibility to either submit work by the due date or negotiate an extension. An assignment not submitted by the due date will receive a grade of 0 which will, in turn, result in a failing grade for the course. Barring extraordinary circumstances, the failure to take an exam on the assigned date will result in a grade of zero and students arriving late to an exam will receive the remainder of the allotted time to complete it.</w:t>
      </w:r>
    </w:p>
    <w:p w14:paraId="547D78F8" w14:textId="77777777" w:rsidR="00EB06AB" w:rsidRPr="000B7BD3" w:rsidRDefault="00EB06AB" w:rsidP="00EB06AB">
      <w:pPr>
        <w:numPr>
          <w:ilvl w:val="0"/>
          <w:numId w:val="16"/>
        </w:numPr>
        <w:spacing w:after="200" w:line="276" w:lineRule="auto"/>
        <w:contextualSpacing/>
      </w:pPr>
      <w:r w:rsidRPr="000B7BD3">
        <w:rPr>
          <w:b/>
        </w:rPr>
        <w:t xml:space="preserve">Submitting and Returning Work: </w:t>
      </w:r>
      <w:r w:rsidRPr="000B7BD3">
        <w:t xml:space="preserve">Papers should be submitted electronically to </w:t>
      </w:r>
      <w:hyperlink r:id="rId9" w:history="1">
        <w:r w:rsidRPr="000B7BD3">
          <w:rPr>
            <w:rStyle w:val="Hyperlink"/>
          </w:rPr>
          <w:t>dkieran@washjeff.edu</w:t>
        </w:r>
      </w:hyperlink>
      <w:r w:rsidRPr="000B7BD3">
        <w:t xml:space="preserve">. I will return all written work with comments and grades within two weeks, with the exception of the final </w:t>
      </w:r>
      <w:proofErr w:type="gramStart"/>
      <w:r w:rsidRPr="000B7BD3">
        <w:t>exam which</w:t>
      </w:r>
      <w:proofErr w:type="gramEnd"/>
      <w:r w:rsidRPr="000B7BD3">
        <w:t xml:space="preserve"> will be available for pick-up at the start of the next semester. Please note:</w:t>
      </w:r>
    </w:p>
    <w:p w14:paraId="6C969509" w14:textId="77777777" w:rsidR="00EB06AB" w:rsidRPr="000B7BD3" w:rsidRDefault="00EB06AB" w:rsidP="00EB06AB">
      <w:pPr>
        <w:numPr>
          <w:ilvl w:val="1"/>
          <w:numId w:val="16"/>
        </w:numPr>
        <w:spacing w:after="200" w:line="276" w:lineRule="auto"/>
        <w:contextualSpacing/>
      </w:pPr>
      <w:r w:rsidRPr="000B7BD3">
        <w:t xml:space="preserve">You should retain an electronic copy of your work and the sent mail containing the attachment until you receive your returned paper. In the event that work goes missing, this will provide the </w:t>
      </w:r>
      <w:r w:rsidRPr="000B7BD3">
        <w:rPr>
          <w:i/>
        </w:rPr>
        <w:t xml:space="preserve">only acceptable </w:t>
      </w:r>
      <w:r w:rsidRPr="000B7BD3">
        <w:t>evidence that you turned in a particular assignment.</w:t>
      </w:r>
    </w:p>
    <w:p w14:paraId="67E07D64" w14:textId="77777777" w:rsidR="00EB06AB" w:rsidRPr="000B7BD3" w:rsidRDefault="00EB06AB" w:rsidP="00EB06AB">
      <w:pPr>
        <w:numPr>
          <w:ilvl w:val="1"/>
          <w:numId w:val="16"/>
        </w:numPr>
        <w:spacing w:after="200" w:line="276" w:lineRule="auto"/>
        <w:contextualSpacing/>
      </w:pPr>
      <w:r w:rsidRPr="000B7BD3">
        <w:t xml:space="preserve">You should also save all graded work until you receive your final grade in the course. In the event that you final grade gets miscalculated, this will provide the </w:t>
      </w:r>
      <w:r w:rsidRPr="000B7BD3">
        <w:rPr>
          <w:i/>
        </w:rPr>
        <w:t xml:space="preserve">only acceptable </w:t>
      </w:r>
      <w:r w:rsidRPr="000B7BD3">
        <w:t>evidence that you received a particular grade.</w:t>
      </w:r>
    </w:p>
    <w:p w14:paraId="2A3760BD" w14:textId="77777777" w:rsidR="00EB06AB" w:rsidRPr="000B7BD3" w:rsidRDefault="00EB06AB" w:rsidP="00EB06AB">
      <w:pPr>
        <w:numPr>
          <w:ilvl w:val="0"/>
          <w:numId w:val="16"/>
        </w:numPr>
        <w:spacing w:after="200" w:line="276" w:lineRule="auto"/>
        <w:contextualSpacing/>
      </w:pPr>
      <w:r w:rsidRPr="000B7BD3">
        <w:rPr>
          <w:b/>
        </w:rPr>
        <w:t>Academic Honesty:</w:t>
      </w:r>
      <w:r w:rsidRPr="000B7BD3">
        <w:t xml:space="preserve"> I expect that you will hold yourself to high standards, adhere to Washington &amp; Jefferson’s Academic Dishonesty policy, and take all efforts to avoid plagiarism. Intentional plagiarism undermines the very goals of a liberal arts education. It also has the potential to jeopardize your career here and in the future. Cases of intentional academic dishonesty will be dealt with according to university regulations and may result in significant academic penalties. Please note that W&amp;J’s academic misconduct policy is quite clear that </w:t>
      </w:r>
      <w:r w:rsidRPr="000B7BD3">
        <w:rPr>
          <w:rFonts w:cs="SourceSansPro-Regular"/>
        </w:rPr>
        <w:t>“If a course instructor believes that the student is guilty of intentional or major academic misconduct, the instructor may give the student an ‘F’ for the course” and that “If the Office of Academic Affairs has a record of previous academic misconduct, or if a single infraction is judged to be sufficiently serious, the Office of Academic Affairs may impose an additional penalty, up to and including dismissal from the College.”</w:t>
      </w:r>
      <w:r w:rsidRPr="000B7BD3">
        <w:rPr>
          <w:rStyle w:val="FootnoteReference"/>
          <w:rFonts w:cs="SourceSansPro-Regular"/>
        </w:rPr>
        <w:footnoteReference w:id="4"/>
      </w:r>
    </w:p>
    <w:p w14:paraId="2986EC5B" w14:textId="77777777" w:rsidR="00EB06AB" w:rsidRPr="000B7BD3" w:rsidRDefault="00EB06AB" w:rsidP="00EB06AB">
      <w:pPr>
        <w:ind w:left="720"/>
        <w:contextualSpacing/>
      </w:pPr>
    </w:p>
    <w:p w14:paraId="382633A7" w14:textId="77777777" w:rsidR="00EB06AB" w:rsidRPr="000B7BD3" w:rsidRDefault="00EB06AB" w:rsidP="00EB06AB">
      <w:pPr>
        <w:ind w:left="720"/>
        <w:contextualSpacing/>
      </w:pPr>
      <w:r w:rsidRPr="000B7BD3">
        <w:t xml:space="preserve">These issues are, thankfully, easy to avoid. I recommend that you purchase the recommended handbook that details the Chicago citation style. As well, we will spend time in class discussing how to responsibly incorporate the ideas of others into your work, but </w:t>
      </w:r>
      <w:r w:rsidRPr="000B7BD3">
        <w:rPr>
          <w:i/>
        </w:rPr>
        <w:t>please</w:t>
      </w:r>
      <w:r w:rsidRPr="000B7BD3">
        <w:t xml:space="preserve"> see me if you have any questions in this regard. </w:t>
      </w:r>
    </w:p>
    <w:p w14:paraId="2C986A48" w14:textId="77777777" w:rsidR="00EB06AB" w:rsidRPr="000B7BD3" w:rsidRDefault="00EB06AB" w:rsidP="00EB06AB">
      <w:pPr>
        <w:ind w:left="720"/>
        <w:contextualSpacing/>
      </w:pPr>
    </w:p>
    <w:p w14:paraId="6E32131C" w14:textId="77777777" w:rsidR="00EB06AB" w:rsidRPr="000B7BD3" w:rsidRDefault="00EB06AB" w:rsidP="00EB06AB">
      <w:pPr>
        <w:ind w:left="720"/>
        <w:contextualSpacing/>
      </w:pPr>
      <w:r w:rsidRPr="000B7BD3">
        <w:t xml:space="preserve">In the meantime, here are five do’s and </w:t>
      </w:r>
      <w:proofErr w:type="spellStart"/>
      <w:r w:rsidRPr="000B7BD3">
        <w:t>don’t’s</w:t>
      </w:r>
      <w:proofErr w:type="spellEnd"/>
      <w:r w:rsidRPr="000B7BD3">
        <w:t>:</w:t>
      </w:r>
    </w:p>
    <w:p w14:paraId="121419E7" w14:textId="77777777" w:rsidR="00EB06AB" w:rsidRPr="000B7BD3" w:rsidRDefault="00EB06AB" w:rsidP="00EB06AB">
      <w:pPr>
        <w:numPr>
          <w:ilvl w:val="1"/>
          <w:numId w:val="16"/>
        </w:numPr>
        <w:spacing w:after="200" w:line="276" w:lineRule="auto"/>
        <w:contextualSpacing/>
      </w:pPr>
      <w:r w:rsidRPr="000B7BD3">
        <w:rPr>
          <w:b/>
          <w:i/>
        </w:rPr>
        <w:t xml:space="preserve">DO </w:t>
      </w:r>
      <w:r w:rsidRPr="000B7BD3">
        <w:rPr>
          <w:i/>
        </w:rPr>
        <w:t xml:space="preserve">Know the Policy: </w:t>
      </w:r>
      <w:r w:rsidRPr="000B7BD3">
        <w:t xml:space="preserve">You are responsible for reading before the next class, and then adhering to during the semester, the College’s Academic Honesty Policy (http://wiki.washjeff.edu/display/CATALOG2015/Academic+Honesty+Policy). </w:t>
      </w:r>
      <w:r w:rsidRPr="000B7BD3">
        <w:rPr>
          <w:u w:val="single"/>
        </w:rPr>
        <w:t>Please see me if you have any questions!</w:t>
      </w:r>
    </w:p>
    <w:p w14:paraId="283268CB" w14:textId="77777777" w:rsidR="00EB06AB" w:rsidRPr="000B7BD3" w:rsidRDefault="00EB06AB" w:rsidP="00EB06AB">
      <w:pPr>
        <w:numPr>
          <w:ilvl w:val="1"/>
          <w:numId w:val="16"/>
        </w:numPr>
        <w:spacing w:after="200" w:line="276" w:lineRule="auto"/>
        <w:contextualSpacing/>
      </w:pPr>
      <w:r w:rsidRPr="000B7BD3">
        <w:rPr>
          <w:b/>
          <w:i/>
        </w:rPr>
        <w:t>Do</w:t>
      </w:r>
      <w:r w:rsidRPr="000B7BD3">
        <w:rPr>
          <w:i/>
        </w:rPr>
        <w:t xml:space="preserve"> Your Own Work</w:t>
      </w:r>
      <w:r w:rsidRPr="000B7BD3">
        <w:t xml:space="preserve">. With the exception of the final project, you will not need to consult outside sources to complete class reading and writing assignments. By making sure that you are relying solely on class readings and your own thoughts and words, you will avoid any problems in this regard. </w:t>
      </w:r>
    </w:p>
    <w:p w14:paraId="30EAFE3A" w14:textId="77777777" w:rsidR="00EB06AB" w:rsidRPr="000B7BD3" w:rsidRDefault="00EB06AB" w:rsidP="00EB06AB">
      <w:pPr>
        <w:numPr>
          <w:ilvl w:val="1"/>
          <w:numId w:val="16"/>
        </w:numPr>
        <w:spacing w:after="200" w:line="276" w:lineRule="auto"/>
        <w:contextualSpacing/>
      </w:pPr>
      <w:r w:rsidRPr="000B7BD3">
        <w:rPr>
          <w:b/>
          <w:i/>
        </w:rPr>
        <w:t xml:space="preserve">DO </w:t>
      </w:r>
      <w:r w:rsidRPr="000B7BD3">
        <w:rPr>
          <w:i/>
        </w:rPr>
        <w:t>Be Responsible With Citations</w:t>
      </w:r>
      <w:r w:rsidRPr="000B7BD3">
        <w:t xml:space="preserve">. There will be occasions in which you will consult secondary materials. In such cases, you must carefully format and appropriately cite all sources quoted, paraphrased, and consulted using the format described in the </w:t>
      </w:r>
      <w:r w:rsidRPr="000B7BD3">
        <w:rPr>
          <w:i/>
        </w:rPr>
        <w:t>Chicago Manual of Style</w:t>
      </w:r>
      <w:r w:rsidRPr="000B7BD3">
        <w:t>.</w:t>
      </w:r>
    </w:p>
    <w:p w14:paraId="4227BFAD" w14:textId="77777777" w:rsidR="00EB06AB" w:rsidRPr="000B7BD3" w:rsidRDefault="00EB06AB" w:rsidP="00EB06AB">
      <w:pPr>
        <w:numPr>
          <w:ilvl w:val="1"/>
          <w:numId w:val="16"/>
        </w:numPr>
        <w:spacing w:after="200" w:line="276" w:lineRule="auto"/>
        <w:contextualSpacing/>
      </w:pPr>
      <w:r w:rsidRPr="000B7BD3">
        <w:rPr>
          <w:b/>
          <w:i/>
        </w:rPr>
        <w:t>DO</w:t>
      </w:r>
      <w:r w:rsidRPr="000B7BD3">
        <w:rPr>
          <w:i/>
        </w:rPr>
        <w:t xml:space="preserve"> Err on the Side of Caution:</w:t>
      </w:r>
      <w:r w:rsidRPr="000B7BD3">
        <w:rPr>
          <w:b/>
          <w:i/>
        </w:rPr>
        <w:t xml:space="preserve"> </w:t>
      </w:r>
      <w:r w:rsidRPr="000B7BD3">
        <w:t xml:space="preserve">When in doubt, cite the source. There are some tricky questions – what’s a summary, and what’s a paraphrase? What counts as common knowledge? – </w:t>
      </w:r>
      <w:proofErr w:type="gramStart"/>
      <w:r w:rsidRPr="000B7BD3">
        <w:t>if</w:t>
      </w:r>
      <w:proofErr w:type="gramEnd"/>
      <w:r w:rsidRPr="000B7BD3">
        <w:t xml:space="preserve"> you’re not sure, it’s better to cite the source.</w:t>
      </w:r>
    </w:p>
    <w:p w14:paraId="09F12A11" w14:textId="77777777" w:rsidR="00EB06AB" w:rsidRPr="000B7BD3" w:rsidRDefault="00EB06AB" w:rsidP="00EB06AB">
      <w:pPr>
        <w:numPr>
          <w:ilvl w:val="1"/>
          <w:numId w:val="16"/>
        </w:numPr>
        <w:spacing w:after="200" w:line="276" w:lineRule="auto"/>
        <w:contextualSpacing/>
      </w:pPr>
      <w:r w:rsidRPr="000B7BD3">
        <w:rPr>
          <w:b/>
          <w:i/>
        </w:rPr>
        <w:t>DON’T</w:t>
      </w:r>
      <w:r w:rsidRPr="000B7BD3">
        <w:rPr>
          <w:b/>
        </w:rPr>
        <w:t xml:space="preserve"> </w:t>
      </w:r>
      <w:r w:rsidRPr="000B7BD3">
        <w:rPr>
          <w:i/>
        </w:rPr>
        <w:t xml:space="preserve">Try To Pass Someone Else’s Work Off As Your Own: </w:t>
      </w:r>
      <w:r w:rsidRPr="000B7BD3">
        <w:t>Cut-and-paste from the Internet, buying papers from term paper mills, having someone write a paper for you, turning in a paper you or someone else wrote for another class, and other obvious forms of dishonesty are the most egregious forms of this violation. They are also, as it turns out, the easiest to notice.</w:t>
      </w:r>
    </w:p>
    <w:p w14:paraId="03E775F7" w14:textId="77777777" w:rsidR="00EB06AB" w:rsidRPr="000B7BD3" w:rsidRDefault="00EB06AB" w:rsidP="00EB06AB">
      <w:pPr>
        <w:numPr>
          <w:ilvl w:val="0"/>
          <w:numId w:val="15"/>
        </w:numPr>
        <w:spacing w:after="200" w:line="276" w:lineRule="auto"/>
        <w:contextualSpacing/>
      </w:pPr>
      <w:r w:rsidRPr="000B7BD3">
        <w:rPr>
          <w:b/>
        </w:rPr>
        <w:t>Student Support Services:</w:t>
      </w:r>
      <w:r w:rsidRPr="000B7BD3">
        <w:t xml:space="preserve"> Students needing assistance in any way should let me know as early in the semester as possible. Students needing accommodations are encouraged to consult with Disability Support Services: http://www.washjeff.edu/disability-support-services</w:t>
      </w:r>
    </w:p>
    <w:p w14:paraId="794F3933" w14:textId="77777777" w:rsidR="00EB06AB" w:rsidRPr="000B7BD3" w:rsidRDefault="00EB06AB" w:rsidP="00EB06AB">
      <w:pPr>
        <w:numPr>
          <w:ilvl w:val="0"/>
          <w:numId w:val="15"/>
        </w:numPr>
        <w:spacing w:after="200" w:line="276" w:lineRule="auto"/>
        <w:contextualSpacing/>
        <w:rPr>
          <w:b/>
        </w:rPr>
      </w:pPr>
      <w:r w:rsidRPr="000B7BD3">
        <w:rPr>
          <w:b/>
        </w:rPr>
        <w:t xml:space="preserve">PAL Program: </w:t>
      </w:r>
      <w:r w:rsidRPr="000B7BD3">
        <w:t>The Peer Assisted Learning Program (</w:t>
      </w:r>
      <w:hyperlink r:id="rId10" w:history="1">
        <w:r w:rsidRPr="000B7BD3">
          <w:rPr>
            <w:rStyle w:val="Hyperlink"/>
          </w:rPr>
          <w:t>http://www.washjeff.edu/pal</w:t>
        </w:r>
      </w:hyperlink>
      <w:r w:rsidRPr="000B7BD3">
        <w:t>) is an excellent resource for helping you conceptualize, organize, and revise your papers. I encourage you to make good use of it. Students who visit a tutor with a draft of their papers for this course will earn extra-credit.</w:t>
      </w:r>
    </w:p>
    <w:p w14:paraId="1D021D0E" w14:textId="6F525F7F" w:rsidR="00EB06AB" w:rsidRPr="000B7BD3" w:rsidRDefault="00EB06AB" w:rsidP="00EB06AB">
      <w:pPr>
        <w:numPr>
          <w:ilvl w:val="0"/>
          <w:numId w:val="15"/>
        </w:numPr>
        <w:spacing w:after="200" w:line="276" w:lineRule="auto"/>
        <w:contextualSpacing/>
        <w:rPr>
          <w:b/>
        </w:rPr>
      </w:pPr>
      <w:r w:rsidRPr="000B7BD3">
        <w:rPr>
          <w:b/>
        </w:rPr>
        <w:t>Office Hours and Contacting Me:</w:t>
      </w:r>
      <w:r w:rsidRPr="000B7BD3">
        <w:t xml:space="preserve"> Please feel free to come see me about any issue relating to the course, about the History major, or just to chat. I am happy to work with you to improve your participation or your writing or to offer suggestions for your papers. </w:t>
      </w:r>
      <w:r w:rsidRPr="000B7BD3">
        <w:rPr>
          <w:i/>
        </w:rPr>
        <w:t xml:space="preserve">If you find yourself struggling with the concepts or the workload, or are having any other sort of difficulty </w:t>
      </w:r>
      <w:r w:rsidRPr="000B7BD3">
        <w:rPr>
          <w:i/>
          <w:u w:val="single"/>
        </w:rPr>
        <w:t>see me sooner rather than later</w:t>
      </w:r>
      <w:r w:rsidRPr="000B7BD3">
        <w:rPr>
          <w:i/>
        </w:rPr>
        <w:t xml:space="preserve">. The last week of the semester is </w:t>
      </w:r>
      <w:r w:rsidRPr="000B7BD3">
        <w:rPr>
          <w:i/>
          <w:u w:val="single"/>
        </w:rPr>
        <w:t>not</w:t>
      </w:r>
      <w:r w:rsidRPr="000B7BD3">
        <w:rPr>
          <w:i/>
        </w:rPr>
        <w:t xml:space="preserve"> the best time to ask how you are doing in the course and how you can improve your grade.</w:t>
      </w:r>
      <w:r w:rsidRPr="000B7BD3">
        <w:t xml:space="preserve"> I respond to emails and voicemails received during the week (Monday through noon on Friday) within 24 hours; I respond to emails received over the weekend by 5:00PM on Monday.</w:t>
      </w:r>
    </w:p>
    <w:p w14:paraId="38D00832" w14:textId="77777777" w:rsidR="009E02C6" w:rsidRPr="000B7BD3" w:rsidRDefault="009E02C6" w:rsidP="009E02C6">
      <w:pPr>
        <w:rPr>
          <w:b/>
        </w:rPr>
      </w:pPr>
    </w:p>
    <w:p w14:paraId="5A1F9C34" w14:textId="77777777" w:rsidR="009E02C6" w:rsidRPr="000B7BD3" w:rsidRDefault="009E02C6" w:rsidP="009E02C6">
      <w:pPr>
        <w:rPr>
          <w:b/>
        </w:rPr>
      </w:pPr>
      <w:r w:rsidRPr="000B7BD3">
        <w:rPr>
          <w:b/>
        </w:rPr>
        <w:t>Schedule of Readings and Assignments:</w:t>
      </w:r>
    </w:p>
    <w:p w14:paraId="09B85D9F" w14:textId="77777777" w:rsidR="009E02C6" w:rsidRPr="000B7BD3" w:rsidRDefault="009E02C6" w:rsidP="009E02C6">
      <w:pPr>
        <w:rPr>
          <w:b/>
        </w:rPr>
      </w:pPr>
      <w:r w:rsidRPr="000B7BD3">
        <w:rPr>
          <w:b/>
        </w:rPr>
        <w:t xml:space="preserve">Please Note: </w:t>
      </w:r>
    </w:p>
    <w:p w14:paraId="00EC515E" w14:textId="5140A660" w:rsidR="009E02C6" w:rsidRPr="000B7BD3" w:rsidRDefault="009E02C6" w:rsidP="009E02C6">
      <w:pPr>
        <w:pStyle w:val="ListParagraph"/>
        <w:numPr>
          <w:ilvl w:val="0"/>
          <w:numId w:val="33"/>
        </w:numPr>
        <w:spacing w:after="200" w:line="276" w:lineRule="auto"/>
      </w:pPr>
      <w:r w:rsidRPr="000B7BD3">
        <w:t>My expectation is that you will spend 3</w:t>
      </w:r>
      <w:r w:rsidR="004A516D">
        <w:t>-4</w:t>
      </w:r>
      <w:r w:rsidRPr="000B7BD3">
        <w:t xml:space="preserve"> focused hours preparing for each class session. Those who do so can expect to do well.</w:t>
      </w:r>
    </w:p>
    <w:p w14:paraId="04FA23E5" w14:textId="77777777" w:rsidR="009E02C6" w:rsidRPr="000B7BD3" w:rsidRDefault="009E02C6" w:rsidP="009E02C6">
      <w:pPr>
        <w:pStyle w:val="ListParagraph"/>
        <w:numPr>
          <w:ilvl w:val="0"/>
          <w:numId w:val="33"/>
        </w:numPr>
        <w:spacing w:after="200" w:line="276" w:lineRule="auto"/>
      </w:pPr>
      <w:r w:rsidRPr="000B7BD3">
        <w:t>All readings are due on the date indicated. Please bring your readings to class with you so that we may refer to them during discussion.</w:t>
      </w:r>
    </w:p>
    <w:p w14:paraId="0B3FCA22" w14:textId="77777777" w:rsidR="009E02C6" w:rsidRPr="000B7BD3" w:rsidRDefault="009E02C6" w:rsidP="009E02C6">
      <w:pPr>
        <w:pStyle w:val="ListParagraph"/>
        <w:numPr>
          <w:ilvl w:val="0"/>
          <w:numId w:val="33"/>
        </w:numPr>
        <w:spacing w:after="200" w:line="276" w:lineRule="auto"/>
      </w:pPr>
      <w:r w:rsidRPr="000B7BD3">
        <w:t xml:space="preserve">Readings and due dates may change as the semester progresses. These changes will be announced in class and/or via email. </w:t>
      </w:r>
    </w:p>
    <w:p w14:paraId="293A3355" w14:textId="77777777" w:rsidR="009E02C6" w:rsidRPr="000B7BD3" w:rsidRDefault="009E02C6" w:rsidP="009E02C6">
      <w:pPr>
        <w:pStyle w:val="ListParagraph"/>
        <w:numPr>
          <w:ilvl w:val="0"/>
          <w:numId w:val="33"/>
        </w:numPr>
        <w:spacing w:after="200" w:line="276" w:lineRule="auto"/>
      </w:pPr>
      <w:r w:rsidRPr="000B7BD3">
        <w:t>If you are absent, be sure to check with a colleague to see what you have missed.</w:t>
      </w:r>
    </w:p>
    <w:p w14:paraId="17D771AA" w14:textId="77777777" w:rsidR="00B61E22" w:rsidRPr="000B7BD3" w:rsidRDefault="00B61E22" w:rsidP="00B61E22">
      <w:pPr>
        <w:pStyle w:val="NoSpacing"/>
        <w:ind w:left="360"/>
        <w:rPr>
          <w:rFonts w:asciiTheme="minorHAnsi" w:hAnsiTheme="minorHAnsi"/>
          <w:sz w:val="24"/>
          <w:szCs w:val="24"/>
        </w:rPr>
      </w:pPr>
    </w:p>
    <w:p w14:paraId="3F30525C" w14:textId="77777777" w:rsidR="00306171" w:rsidRPr="000B7BD3" w:rsidRDefault="00306171"/>
    <w:tbl>
      <w:tblPr>
        <w:tblStyle w:val="TableGrid"/>
        <w:tblW w:w="9036" w:type="dxa"/>
        <w:tblLayout w:type="fixed"/>
        <w:tblLook w:val="04A0" w:firstRow="1" w:lastRow="0" w:firstColumn="1" w:lastColumn="0" w:noHBand="0" w:noVBand="1"/>
      </w:tblPr>
      <w:tblGrid>
        <w:gridCol w:w="828"/>
        <w:gridCol w:w="900"/>
        <w:gridCol w:w="6030"/>
        <w:gridCol w:w="1278"/>
      </w:tblGrid>
      <w:tr w:rsidR="00EB06AB" w:rsidRPr="000B7BD3" w14:paraId="79F0E27F" w14:textId="77777777" w:rsidTr="0060144A">
        <w:tc>
          <w:tcPr>
            <w:tcW w:w="828" w:type="dxa"/>
          </w:tcPr>
          <w:p w14:paraId="1E2032C3" w14:textId="20BCADAA" w:rsidR="00EB06AB" w:rsidRPr="000B7BD3" w:rsidRDefault="00EB06AB">
            <w:pPr>
              <w:rPr>
                <w:b/>
              </w:rPr>
            </w:pPr>
            <w:r w:rsidRPr="000B7BD3">
              <w:rPr>
                <w:b/>
              </w:rPr>
              <w:t>Day</w:t>
            </w:r>
          </w:p>
        </w:tc>
        <w:tc>
          <w:tcPr>
            <w:tcW w:w="900" w:type="dxa"/>
          </w:tcPr>
          <w:p w14:paraId="3BD477D4" w14:textId="757ED78D" w:rsidR="00EB06AB" w:rsidRPr="000B7BD3" w:rsidRDefault="00EB06AB">
            <w:pPr>
              <w:rPr>
                <w:b/>
              </w:rPr>
            </w:pPr>
            <w:r w:rsidRPr="000B7BD3">
              <w:rPr>
                <w:b/>
              </w:rPr>
              <w:t>Date</w:t>
            </w:r>
          </w:p>
        </w:tc>
        <w:tc>
          <w:tcPr>
            <w:tcW w:w="6030" w:type="dxa"/>
          </w:tcPr>
          <w:p w14:paraId="6105C2C6" w14:textId="015F215D" w:rsidR="00EB06AB" w:rsidRPr="000B7BD3" w:rsidRDefault="00EB06AB">
            <w:pPr>
              <w:rPr>
                <w:b/>
              </w:rPr>
            </w:pPr>
            <w:r w:rsidRPr="000B7BD3">
              <w:rPr>
                <w:b/>
              </w:rPr>
              <w:t>Topics / Readings Due in Class</w:t>
            </w:r>
          </w:p>
        </w:tc>
        <w:tc>
          <w:tcPr>
            <w:tcW w:w="1278" w:type="dxa"/>
          </w:tcPr>
          <w:p w14:paraId="350E2010" w14:textId="2EDE49A9" w:rsidR="00EB06AB" w:rsidRPr="000B7BD3" w:rsidRDefault="00EB06AB">
            <w:pPr>
              <w:rPr>
                <w:b/>
              </w:rPr>
            </w:pPr>
            <w:r w:rsidRPr="000B7BD3">
              <w:rPr>
                <w:b/>
              </w:rPr>
              <w:t>Writing Due in Class</w:t>
            </w:r>
          </w:p>
        </w:tc>
      </w:tr>
      <w:tr w:rsidR="00EB06AB" w:rsidRPr="000B7BD3" w14:paraId="04370F10" w14:textId="77777777" w:rsidTr="0060144A">
        <w:tc>
          <w:tcPr>
            <w:tcW w:w="828" w:type="dxa"/>
          </w:tcPr>
          <w:p w14:paraId="6E9DDB4D" w14:textId="398F8EA7" w:rsidR="00EB06AB" w:rsidRPr="000B7BD3" w:rsidRDefault="00EB06AB">
            <w:r w:rsidRPr="000B7BD3">
              <w:t>T</w:t>
            </w:r>
          </w:p>
        </w:tc>
        <w:tc>
          <w:tcPr>
            <w:tcW w:w="900" w:type="dxa"/>
          </w:tcPr>
          <w:p w14:paraId="292E166D" w14:textId="5448241A" w:rsidR="00EB06AB" w:rsidRPr="000B7BD3" w:rsidRDefault="00EB06AB">
            <w:r w:rsidRPr="000B7BD3">
              <w:t>9/6</w:t>
            </w:r>
          </w:p>
        </w:tc>
        <w:tc>
          <w:tcPr>
            <w:tcW w:w="6030" w:type="dxa"/>
          </w:tcPr>
          <w:p w14:paraId="30E71598" w14:textId="77777777" w:rsidR="00EB06AB" w:rsidRPr="000B7BD3" w:rsidRDefault="00EB06AB">
            <w:pPr>
              <w:rPr>
                <w:b/>
              </w:rPr>
            </w:pPr>
            <w:r w:rsidRPr="000B7BD3">
              <w:rPr>
                <w:b/>
              </w:rPr>
              <w:t>Introductions: About You, About Me, and About the Course</w:t>
            </w:r>
          </w:p>
          <w:p w14:paraId="076D44CF" w14:textId="77777777" w:rsidR="00EB06AB" w:rsidRPr="000B7BD3" w:rsidRDefault="00EB06AB" w:rsidP="008A6069">
            <w:pPr>
              <w:pStyle w:val="ListParagraph"/>
              <w:numPr>
                <w:ilvl w:val="0"/>
                <w:numId w:val="17"/>
              </w:numPr>
            </w:pPr>
            <w:r w:rsidRPr="000B7BD3">
              <w:t xml:space="preserve">In class: John Southard, “Beyond ‘A Company, B Company’ History: A Military History State of the Field,” </w:t>
            </w:r>
            <w:r w:rsidRPr="000B7BD3">
              <w:rPr>
                <w:i/>
              </w:rPr>
              <w:t>American Historian</w:t>
            </w:r>
            <w:r w:rsidRPr="000B7BD3">
              <w:t xml:space="preserve">, August 2014, 20-23. </w:t>
            </w:r>
          </w:p>
          <w:p w14:paraId="681F29D7" w14:textId="424E37E5" w:rsidR="00EB06AB" w:rsidRPr="000B7BD3" w:rsidRDefault="00EB06AB" w:rsidP="00EB06AB">
            <w:pPr>
              <w:pStyle w:val="ListParagraph"/>
              <w:numPr>
                <w:ilvl w:val="0"/>
                <w:numId w:val="17"/>
              </w:numPr>
            </w:pPr>
            <w:r w:rsidRPr="000B7BD3">
              <w:t xml:space="preserve">Military advertising and the relationship between military and society </w:t>
            </w:r>
            <w:r w:rsidRPr="000B7BD3">
              <w:br/>
            </w:r>
          </w:p>
        </w:tc>
        <w:tc>
          <w:tcPr>
            <w:tcW w:w="1278" w:type="dxa"/>
          </w:tcPr>
          <w:p w14:paraId="0E94F992" w14:textId="72371A7B" w:rsidR="00EB06AB" w:rsidRPr="000B7BD3" w:rsidRDefault="00EB06AB"/>
        </w:tc>
      </w:tr>
      <w:tr w:rsidR="00EB06AB" w:rsidRPr="000B7BD3" w14:paraId="5A6D8D7B" w14:textId="77777777" w:rsidTr="0060144A">
        <w:tc>
          <w:tcPr>
            <w:tcW w:w="828" w:type="dxa"/>
          </w:tcPr>
          <w:p w14:paraId="5CA19891" w14:textId="3E6746E5" w:rsidR="00EB06AB" w:rsidRPr="000B7BD3" w:rsidRDefault="00D00071">
            <w:r w:rsidRPr="000B7BD3">
              <w:t>R</w:t>
            </w:r>
          </w:p>
        </w:tc>
        <w:tc>
          <w:tcPr>
            <w:tcW w:w="900" w:type="dxa"/>
          </w:tcPr>
          <w:p w14:paraId="4F49950E" w14:textId="3744AFA3" w:rsidR="00EB06AB" w:rsidRPr="000B7BD3" w:rsidRDefault="00EB06AB">
            <w:r w:rsidRPr="000B7BD3">
              <w:t>9/8</w:t>
            </w:r>
          </w:p>
        </w:tc>
        <w:tc>
          <w:tcPr>
            <w:tcW w:w="6030" w:type="dxa"/>
          </w:tcPr>
          <w:p w14:paraId="54E8156C" w14:textId="77777777" w:rsidR="00EB06AB" w:rsidRPr="000B7BD3" w:rsidRDefault="00EB06AB" w:rsidP="00E1588D">
            <w:pPr>
              <w:rPr>
                <w:b/>
              </w:rPr>
            </w:pPr>
            <w:r w:rsidRPr="000B7BD3">
              <w:rPr>
                <w:b/>
              </w:rPr>
              <w:t>The Second World War and American Identity:</w:t>
            </w:r>
          </w:p>
          <w:p w14:paraId="668ABA2E" w14:textId="77777777" w:rsidR="00EB06AB" w:rsidRPr="000B7BD3" w:rsidRDefault="00EB06AB" w:rsidP="00E1588D">
            <w:pPr>
              <w:pStyle w:val="ListParagraph"/>
              <w:numPr>
                <w:ilvl w:val="0"/>
                <w:numId w:val="2"/>
              </w:numPr>
            </w:pPr>
            <w:r w:rsidRPr="000B7BD3">
              <w:t>Franklin D. Roosevelt, “The Four Freedoms.”**</w:t>
            </w:r>
          </w:p>
          <w:p w14:paraId="731570C4" w14:textId="77777777" w:rsidR="00EB06AB" w:rsidRPr="000B7BD3" w:rsidRDefault="00EB06AB" w:rsidP="00E1588D">
            <w:pPr>
              <w:pStyle w:val="ListParagraph"/>
              <w:numPr>
                <w:ilvl w:val="0"/>
                <w:numId w:val="2"/>
              </w:numPr>
            </w:pPr>
            <w:r w:rsidRPr="000B7BD3">
              <w:t>Watch: U.S. War Department, “Why We Fight” (1943)**</w:t>
            </w:r>
          </w:p>
          <w:p w14:paraId="18940B49" w14:textId="77777777" w:rsidR="00EB06AB" w:rsidRPr="000B7BD3" w:rsidRDefault="00EB06AB" w:rsidP="00E1588D">
            <w:pPr>
              <w:pStyle w:val="ListParagraph"/>
              <w:numPr>
                <w:ilvl w:val="0"/>
                <w:numId w:val="2"/>
              </w:numPr>
            </w:pPr>
            <w:r w:rsidRPr="000B7BD3">
              <w:t xml:space="preserve">U.S. National Archives, </w:t>
            </w:r>
            <w:r w:rsidRPr="000B7BD3">
              <w:rPr>
                <w:i/>
              </w:rPr>
              <w:t>Powers of Persuasion: Poster Art from World War II</w:t>
            </w:r>
            <w:r w:rsidRPr="000B7BD3">
              <w:t>. (http://www.archives.gov/exhibits/powers_of_persuasion/use_it_up/use_it_up.html)**</w:t>
            </w:r>
          </w:p>
          <w:p w14:paraId="0281C192" w14:textId="77777777" w:rsidR="00EB06AB" w:rsidRPr="000B7BD3" w:rsidRDefault="00EB06AB"/>
        </w:tc>
        <w:tc>
          <w:tcPr>
            <w:tcW w:w="1278" w:type="dxa"/>
          </w:tcPr>
          <w:p w14:paraId="46EBAD8B" w14:textId="5003D0D1" w:rsidR="00EB06AB" w:rsidRPr="000B7BD3" w:rsidRDefault="00EB06AB">
            <w:r w:rsidRPr="000B7BD3">
              <w:t>R1</w:t>
            </w:r>
          </w:p>
        </w:tc>
      </w:tr>
      <w:tr w:rsidR="00EB06AB" w:rsidRPr="000B7BD3" w14:paraId="3EFC906B" w14:textId="77777777" w:rsidTr="0060144A">
        <w:tc>
          <w:tcPr>
            <w:tcW w:w="828" w:type="dxa"/>
          </w:tcPr>
          <w:p w14:paraId="08509AAC" w14:textId="1B178900" w:rsidR="00EB06AB" w:rsidRPr="000B7BD3" w:rsidRDefault="00D00071">
            <w:r w:rsidRPr="000B7BD3">
              <w:t>T</w:t>
            </w:r>
          </w:p>
        </w:tc>
        <w:tc>
          <w:tcPr>
            <w:tcW w:w="900" w:type="dxa"/>
          </w:tcPr>
          <w:p w14:paraId="37D98C50" w14:textId="1DF371F3" w:rsidR="00EB06AB" w:rsidRPr="000B7BD3" w:rsidRDefault="0060144A">
            <w:r w:rsidRPr="000B7BD3">
              <w:t>9/13</w:t>
            </w:r>
          </w:p>
        </w:tc>
        <w:tc>
          <w:tcPr>
            <w:tcW w:w="6030" w:type="dxa"/>
          </w:tcPr>
          <w:p w14:paraId="55D3DEEA" w14:textId="77777777" w:rsidR="0060144A" w:rsidRPr="000B7BD3" w:rsidRDefault="0060144A" w:rsidP="0060144A">
            <w:pPr>
              <w:rPr>
                <w:b/>
              </w:rPr>
            </w:pPr>
            <w:r w:rsidRPr="000B7BD3">
              <w:rPr>
                <w:b/>
              </w:rPr>
              <w:t>Race and the Second World War:</w:t>
            </w:r>
          </w:p>
          <w:p w14:paraId="252E2FA4" w14:textId="77777777" w:rsidR="0060144A" w:rsidRPr="000B7BD3" w:rsidRDefault="0060144A" w:rsidP="0060144A">
            <w:pPr>
              <w:pStyle w:val="ListParagraph"/>
              <w:numPr>
                <w:ilvl w:val="0"/>
                <w:numId w:val="1"/>
              </w:numPr>
            </w:pPr>
            <w:r w:rsidRPr="000B7BD3">
              <w:t xml:space="preserve">Phillips, </w:t>
            </w:r>
            <w:r w:rsidRPr="000B7BD3">
              <w:rPr>
                <w:i/>
              </w:rPr>
              <w:t>War! What is it Good For</w:t>
            </w:r>
            <w:proofErr w:type="gramStart"/>
            <w:r w:rsidRPr="000B7BD3">
              <w:rPr>
                <w:i/>
              </w:rPr>
              <w:t>?,</w:t>
            </w:r>
            <w:proofErr w:type="gramEnd"/>
            <w:r w:rsidRPr="000B7BD3">
              <w:rPr>
                <w:i/>
              </w:rPr>
              <w:t xml:space="preserve"> </w:t>
            </w:r>
            <w:r w:rsidRPr="000B7BD3">
              <w:t>Ch.1</w:t>
            </w:r>
          </w:p>
          <w:p w14:paraId="5DEE99E8" w14:textId="77777777" w:rsidR="0060144A" w:rsidRPr="000B7BD3" w:rsidRDefault="0060144A" w:rsidP="0060144A">
            <w:pPr>
              <w:pStyle w:val="ListParagraph"/>
              <w:numPr>
                <w:ilvl w:val="0"/>
                <w:numId w:val="1"/>
              </w:numPr>
            </w:pPr>
            <w:r w:rsidRPr="000B7BD3">
              <w:rPr>
                <w:i/>
              </w:rPr>
              <w:t>Pittsburgh Courier</w:t>
            </w:r>
            <w:r w:rsidRPr="000B7BD3">
              <w:t>, “</w:t>
            </w:r>
            <w:r w:rsidRPr="000B7BD3">
              <w:rPr>
                <w:i/>
              </w:rPr>
              <w:t>The Courier</w:t>
            </w:r>
            <w:r w:rsidRPr="000B7BD3">
              <w:t xml:space="preserve">’s Double ‘V’ For a Double Victory Campaign Gets Country-Wide Support.”** </w:t>
            </w:r>
          </w:p>
          <w:p w14:paraId="2E681396" w14:textId="23383AAC" w:rsidR="00461F48" w:rsidRPr="000B7BD3" w:rsidRDefault="00461F48" w:rsidP="0066168E">
            <w:pPr>
              <w:pStyle w:val="ListParagraph"/>
              <w:numPr>
                <w:ilvl w:val="0"/>
                <w:numId w:val="1"/>
              </w:numPr>
            </w:pPr>
            <w:r w:rsidRPr="000B7BD3">
              <w:rPr>
                <w:i/>
              </w:rPr>
              <w:t xml:space="preserve">Watch: </w:t>
            </w:r>
            <w:r w:rsidRPr="000B7BD3">
              <w:t>U.S. War Department, “The Negro Soldier” (1944) (</w:t>
            </w:r>
            <w:hyperlink r:id="rId11" w:history="1">
              <w:r w:rsidRPr="000B7BD3">
                <w:rPr>
                  <w:rStyle w:val="Hyperlink"/>
                </w:rPr>
                <w:t>http://www.aacvr-germany.org/index.php/movies-8/the-negro-soldier-1944</w:t>
              </w:r>
            </w:hyperlink>
            <w:r w:rsidRPr="000B7BD3">
              <w:t>)</w:t>
            </w:r>
          </w:p>
          <w:p w14:paraId="2FE8B0BB" w14:textId="69C4223A" w:rsidR="00EB06AB" w:rsidRPr="000B7BD3" w:rsidRDefault="00EB06AB" w:rsidP="00461F48">
            <w:pPr>
              <w:pStyle w:val="ListParagraph"/>
            </w:pPr>
            <w:r w:rsidRPr="000B7BD3">
              <w:rPr>
                <w:b/>
              </w:rPr>
              <w:br/>
            </w:r>
          </w:p>
        </w:tc>
        <w:tc>
          <w:tcPr>
            <w:tcW w:w="1278" w:type="dxa"/>
          </w:tcPr>
          <w:p w14:paraId="0CD0BD58" w14:textId="5B21B4F1" w:rsidR="00EB06AB" w:rsidRPr="000B7BD3" w:rsidRDefault="00EB06AB" w:rsidP="00B61E22"/>
        </w:tc>
      </w:tr>
      <w:tr w:rsidR="00EB06AB" w:rsidRPr="000B7BD3" w14:paraId="092FBE0D" w14:textId="77777777" w:rsidTr="0060144A">
        <w:tc>
          <w:tcPr>
            <w:tcW w:w="828" w:type="dxa"/>
          </w:tcPr>
          <w:p w14:paraId="1E222246" w14:textId="70EF7540" w:rsidR="00EB06AB" w:rsidRPr="000B7BD3" w:rsidRDefault="00D00071">
            <w:r w:rsidRPr="000B7BD3">
              <w:t>R</w:t>
            </w:r>
          </w:p>
        </w:tc>
        <w:tc>
          <w:tcPr>
            <w:tcW w:w="900" w:type="dxa"/>
          </w:tcPr>
          <w:p w14:paraId="7A3D1C3A" w14:textId="6DD641F0" w:rsidR="00EB06AB" w:rsidRPr="000B7BD3" w:rsidRDefault="0060144A">
            <w:r w:rsidRPr="000B7BD3">
              <w:t>9/15</w:t>
            </w:r>
          </w:p>
        </w:tc>
        <w:tc>
          <w:tcPr>
            <w:tcW w:w="6030" w:type="dxa"/>
          </w:tcPr>
          <w:p w14:paraId="77E67D91" w14:textId="145ADC06" w:rsidR="0060144A" w:rsidRPr="000B7BD3" w:rsidRDefault="0060144A" w:rsidP="0060144A">
            <w:pPr>
              <w:rPr>
                <w:b/>
              </w:rPr>
            </w:pPr>
            <w:r w:rsidRPr="000B7BD3">
              <w:rPr>
                <w:b/>
              </w:rPr>
              <w:t xml:space="preserve">Race and the Second World War, Part II: </w:t>
            </w:r>
            <w:r w:rsidR="00461F48" w:rsidRPr="000B7BD3">
              <w:rPr>
                <w:b/>
              </w:rPr>
              <w:t>Soldiers</w:t>
            </w:r>
            <w:r w:rsidR="00E235B4" w:rsidRPr="000B7BD3">
              <w:rPr>
                <w:b/>
              </w:rPr>
              <w:t>’</w:t>
            </w:r>
            <w:r w:rsidR="00461F48" w:rsidRPr="000B7BD3">
              <w:rPr>
                <w:b/>
              </w:rPr>
              <w:t xml:space="preserve"> Experiences</w:t>
            </w:r>
          </w:p>
          <w:p w14:paraId="2797A4BA" w14:textId="065CB7C6" w:rsidR="00EB06AB" w:rsidRPr="000B7BD3" w:rsidRDefault="00461F48" w:rsidP="00E1588D">
            <w:pPr>
              <w:pStyle w:val="ListParagraph"/>
              <w:numPr>
                <w:ilvl w:val="0"/>
                <w:numId w:val="1"/>
              </w:numPr>
            </w:pPr>
            <w:proofErr w:type="spellStart"/>
            <w:r w:rsidRPr="000B7BD3">
              <w:t>Ho</w:t>
            </w:r>
            <w:r w:rsidR="00EB06AB" w:rsidRPr="000B7BD3">
              <w:t>hn</w:t>
            </w:r>
            <w:proofErr w:type="spellEnd"/>
            <w:r w:rsidRPr="000B7BD3">
              <w:t xml:space="preserve"> and </w:t>
            </w:r>
            <w:proofErr w:type="spellStart"/>
            <w:r w:rsidRPr="000B7BD3">
              <w:t>Klimke</w:t>
            </w:r>
            <w:proofErr w:type="spellEnd"/>
            <w:r w:rsidR="00EB06AB" w:rsidRPr="000B7BD3">
              <w:t xml:space="preserve">, </w:t>
            </w:r>
            <w:r w:rsidRPr="000B7BD3">
              <w:t>“‘We Will Never Go Back to the Old Way Again:</w:t>
            </w:r>
            <w:r w:rsidRPr="000B7BD3">
              <w:rPr>
                <w:i/>
              </w:rPr>
              <w:t>’</w:t>
            </w:r>
            <w:r w:rsidRPr="000B7BD3">
              <w:t xml:space="preserve"> African-American GIs and the Occupation of Germany,” from </w:t>
            </w:r>
            <w:r w:rsidR="00EB06AB" w:rsidRPr="000B7BD3">
              <w:rPr>
                <w:i/>
              </w:rPr>
              <w:t>A Breath of Freedom</w:t>
            </w:r>
            <w:r w:rsidRPr="000B7BD3">
              <w:t xml:space="preserve">: </w:t>
            </w:r>
            <w:r w:rsidRPr="000B7BD3">
              <w:rPr>
                <w:i/>
              </w:rPr>
              <w:t>The Civil Rights Struggle, African-American G.I.s, and Germany</w:t>
            </w:r>
            <w:proofErr w:type="gramStart"/>
            <w:r w:rsidRPr="000B7BD3">
              <w:t>.*</w:t>
            </w:r>
            <w:proofErr w:type="gramEnd"/>
            <w:r w:rsidRPr="000B7BD3">
              <w:t>*</w:t>
            </w:r>
          </w:p>
          <w:p w14:paraId="06823C4B" w14:textId="41205EB2" w:rsidR="00EB06AB" w:rsidRPr="000B7BD3" w:rsidRDefault="00E235B4" w:rsidP="00461F48">
            <w:pPr>
              <w:pStyle w:val="ListParagraph"/>
              <w:numPr>
                <w:ilvl w:val="0"/>
                <w:numId w:val="1"/>
              </w:numPr>
            </w:pPr>
            <w:r w:rsidRPr="000B7BD3">
              <w:t xml:space="preserve">View Images of African-American soldiers in Europe: </w:t>
            </w:r>
            <w:hyperlink r:id="rId12" w:history="1">
              <w:r w:rsidRPr="000B7BD3">
                <w:rPr>
                  <w:rStyle w:val="Hyperlink"/>
                </w:rPr>
                <w:t>http://www.aacvr-germany.org/index.php/images-7</w:t>
              </w:r>
            </w:hyperlink>
            <w:r w:rsidRPr="000B7BD3">
              <w:br/>
            </w:r>
          </w:p>
        </w:tc>
        <w:tc>
          <w:tcPr>
            <w:tcW w:w="1278" w:type="dxa"/>
          </w:tcPr>
          <w:p w14:paraId="4D4FCB1C" w14:textId="5DDB0C37" w:rsidR="00EB06AB" w:rsidRPr="000B7BD3" w:rsidRDefault="00EB06AB" w:rsidP="00B61E22">
            <w:r w:rsidRPr="000B7BD3">
              <w:t>R2</w:t>
            </w:r>
          </w:p>
        </w:tc>
      </w:tr>
      <w:tr w:rsidR="00EB06AB" w:rsidRPr="000B7BD3" w14:paraId="15F970D2" w14:textId="77777777" w:rsidTr="0060144A">
        <w:tc>
          <w:tcPr>
            <w:tcW w:w="828" w:type="dxa"/>
          </w:tcPr>
          <w:p w14:paraId="1EDC09DC" w14:textId="2D72178E" w:rsidR="00EB06AB" w:rsidRPr="000B7BD3" w:rsidRDefault="00D00071">
            <w:r w:rsidRPr="000B7BD3">
              <w:t>T</w:t>
            </w:r>
          </w:p>
        </w:tc>
        <w:tc>
          <w:tcPr>
            <w:tcW w:w="900" w:type="dxa"/>
          </w:tcPr>
          <w:p w14:paraId="079ABA24" w14:textId="2AE547A8" w:rsidR="00EB06AB" w:rsidRPr="000B7BD3" w:rsidRDefault="0060144A">
            <w:r w:rsidRPr="000B7BD3">
              <w:t>9/20</w:t>
            </w:r>
          </w:p>
        </w:tc>
        <w:tc>
          <w:tcPr>
            <w:tcW w:w="6030" w:type="dxa"/>
          </w:tcPr>
          <w:p w14:paraId="0B3565FF" w14:textId="0C91D819" w:rsidR="00E235B4" w:rsidRPr="000B7BD3" w:rsidRDefault="00E235B4" w:rsidP="00E235B4">
            <w:pPr>
              <w:rPr>
                <w:b/>
              </w:rPr>
            </w:pPr>
            <w:r w:rsidRPr="000B7BD3">
              <w:rPr>
                <w:b/>
              </w:rPr>
              <w:t>Race and the Second World War, Part II:</w:t>
            </w:r>
            <w:r w:rsidR="0018685E" w:rsidRPr="000B7BD3">
              <w:rPr>
                <w:b/>
              </w:rPr>
              <w:t xml:space="preserve"> The </w:t>
            </w:r>
            <w:proofErr w:type="spellStart"/>
            <w:r w:rsidR="0018685E" w:rsidRPr="000B7BD3">
              <w:rPr>
                <w:b/>
              </w:rPr>
              <w:t>Homefront</w:t>
            </w:r>
            <w:proofErr w:type="spellEnd"/>
          </w:p>
          <w:p w14:paraId="0A35B650" w14:textId="383AB3F3" w:rsidR="00EB06AB" w:rsidRPr="000B7BD3" w:rsidRDefault="001A7E05" w:rsidP="001A7E05">
            <w:pPr>
              <w:pStyle w:val="ListParagraph"/>
              <w:numPr>
                <w:ilvl w:val="0"/>
                <w:numId w:val="21"/>
              </w:numPr>
            </w:pPr>
            <w:r w:rsidRPr="000B7BD3">
              <w:t xml:space="preserve">Maureen Honey, “War Work,” from </w:t>
            </w:r>
            <w:r w:rsidRPr="000B7BD3">
              <w:rPr>
                <w:i/>
              </w:rPr>
              <w:t>Bitter Fruit: African American Women in World War II</w:t>
            </w:r>
            <w:r w:rsidRPr="000B7BD3">
              <w:t>**</w:t>
            </w:r>
            <w:r w:rsidR="00EB06AB" w:rsidRPr="000B7BD3">
              <w:br/>
            </w:r>
          </w:p>
        </w:tc>
        <w:tc>
          <w:tcPr>
            <w:tcW w:w="1278" w:type="dxa"/>
          </w:tcPr>
          <w:p w14:paraId="499FE3F8" w14:textId="6EB3734F" w:rsidR="00EB06AB" w:rsidRPr="000B7BD3" w:rsidRDefault="00EB06AB" w:rsidP="00B61E22">
            <w:r w:rsidRPr="000B7BD3">
              <w:t>T1</w:t>
            </w:r>
          </w:p>
        </w:tc>
      </w:tr>
      <w:tr w:rsidR="00EB06AB" w:rsidRPr="000B7BD3" w14:paraId="72C13CE6" w14:textId="77777777" w:rsidTr="0060144A">
        <w:tc>
          <w:tcPr>
            <w:tcW w:w="828" w:type="dxa"/>
          </w:tcPr>
          <w:p w14:paraId="2818583C" w14:textId="0CFE6D71" w:rsidR="00EB06AB" w:rsidRPr="000B7BD3" w:rsidRDefault="00D00071">
            <w:r w:rsidRPr="000B7BD3">
              <w:t>R</w:t>
            </w:r>
          </w:p>
        </w:tc>
        <w:tc>
          <w:tcPr>
            <w:tcW w:w="900" w:type="dxa"/>
          </w:tcPr>
          <w:p w14:paraId="1D69E5F5" w14:textId="07E51A1D" w:rsidR="00EB06AB" w:rsidRPr="000B7BD3" w:rsidRDefault="0060144A">
            <w:r w:rsidRPr="000B7BD3">
              <w:t>9/22</w:t>
            </w:r>
          </w:p>
        </w:tc>
        <w:tc>
          <w:tcPr>
            <w:tcW w:w="6030" w:type="dxa"/>
          </w:tcPr>
          <w:p w14:paraId="7DCD2A9C" w14:textId="77777777" w:rsidR="00E235B4" w:rsidRPr="000B7BD3" w:rsidRDefault="00E235B4" w:rsidP="00E235B4">
            <w:pPr>
              <w:rPr>
                <w:b/>
              </w:rPr>
            </w:pPr>
            <w:r w:rsidRPr="000B7BD3">
              <w:rPr>
                <w:b/>
              </w:rPr>
              <w:t>Gender and the Second World War, Part I:</w:t>
            </w:r>
          </w:p>
          <w:p w14:paraId="30064202" w14:textId="42E8A400" w:rsidR="00EB06AB" w:rsidRPr="000B7BD3" w:rsidRDefault="00E235B4" w:rsidP="00E235B4">
            <w:pPr>
              <w:pStyle w:val="ListParagraph"/>
              <w:numPr>
                <w:ilvl w:val="0"/>
                <w:numId w:val="4"/>
              </w:numPr>
            </w:pPr>
            <w:r w:rsidRPr="000B7BD3">
              <w:t xml:space="preserve">Roberts, “Soldier, Liberator, Tourist,” from </w:t>
            </w:r>
            <w:r w:rsidRPr="000B7BD3">
              <w:rPr>
                <w:i/>
              </w:rPr>
              <w:t>What Soldiers Do: Sex and the American GI in World War II France</w:t>
            </w:r>
            <w:r w:rsidRPr="000B7BD3">
              <w:t>**</w:t>
            </w:r>
            <w:r w:rsidR="00EB06AB" w:rsidRPr="000B7BD3">
              <w:br/>
            </w:r>
          </w:p>
        </w:tc>
        <w:tc>
          <w:tcPr>
            <w:tcW w:w="1278" w:type="dxa"/>
          </w:tcPr>
          <w:p w14:paraId="7B1F16F9" w14:textId="558F06A2" w:rsidR="00EB06AB" w:rsidRPr="000B7BD3" w:rsidRDefault="00EB06AB" w:rsidP="00A21A95">
            <w:r w:rsidRPr="000B7BD3">
              <w:t>R3</w:t>
            </w:r>
          </w:p>
        </w:tc>
      </w:tr>
      <w:tr w:rsidR="00EB06AB" w:rsidRPr="000B7BD3" w14:paraId="22EDCF88" w14:textId="77777777" w:rsidTr="0060144A">
        <w:tc>
          <w:tcPr>
            <w:tcW w:w="828" w:type="dxa"/>
          </w:tcPr>
          <w:p w14:paraId="49F14A75" w14:textId="17B94D23" w:rsidR="00EB06AB" w:rsidRPr="000B7BD3" w:rsidRDefault="00D00071">
            <w:r w:rsidRPr="000B7BD3">
              <w:t>T</w:t>
            </w:r>
          </w:p>
        </w:tc>
        <w:tc>
          <w:tcPr>
            <w:tcW w:w="900" w:type="dxa"/>
          </w:tcPr>
          <w:p w14:paraId="7A4A39DD" w14:textId="32FAC335" w:rsidR="00EB06AB" w:rsidRPr="000B7BD3" w:rsidRDefault="0060144A">
            <w:r w:rsidRPr="000B7BD3">
              <w:t>9/27</w:t>
            </w:r>
          </w:p>
        </w:tc>
        <w:tc>
          <w:tcPr>
            <w:tcW w:w="6030" w:type="dxa"/>
          </w:tcPr>
          <w:p w14:paraId="0EB6A07E" w14:textId="77777777" w:rsidR="00E235B4" w:rsidRPr="000B7BD3" w:rsidRDefault="00E235B4" w:rsidP="00E235B4">
            <w:pPr>
              <w:rPr>
                <w:b/>
              </w:rPr>
            </w:pPr>
            <w:r w:rsidRPr="000B7BD3">
              <w:rPr>
                <w:b/>
              </w:rPr>
              <w:t>Gender and the Second World War, Part II: The Home Front</w:t>
            </w:r>
          </w:p>
          <w:p w14:paraId="0F37C0F1" w14:textId="77777777" w:rsidR="00E235B4" w:rsidRPr="000B7BD3" w:rsidRDefault="00E235B4" w:rsidP="00E235B4">
            <w:pPr>
              <w:pStyle w:val="ListParagraph"/>
              <w:numPr>
                <w:ilvl w:val="0"/>
                <w:numId w:val="4"/>
              </w:numPr>
            </w:pPr>
            <w:r w:rsidRPr="000B7BD3">
              <w:t>Elizabeth R. Escobedo, “</w:t>
            </w:r>
            <w:proofErr w:type="spellStart"/>
            <w:r w:rsidRPr="000B7BD3">
              <w:t>Reenvisioning</w:t>
            </w:r>
            <w:proofErr w:type="spellEnd"/>
            <w:r w:rsidRPr="000B7BD3">
              <w:t xml:space="preserve"> Rosie: Mexican Women and Wartime Defense Work,” from </w:t>
            </w:r>
            <w:proofErr w:type="spellStart"/>
            <w:r w:rsidRPr="000B7BD3">
              <w:rPr>
                <w:i/>
              </w:rPr>
              <w:t>From</w:t>
            </w:r>
            <w:proofErr w:type="spellEnd"/>
            <w:r w:rsidRPr="000B7BD3">
              <w:rPr>
                <w:i/>
              </w:rPr>
              <w:t xml:space="preserve"> Coveralls to Zoot Suits: The Lives of Mexican American Women on the World War II Home Front</w:t>
            </w:r>
            <w:r w:rsidRPr="000B7BD3">
              <w:t>**</w:t>
            </w:r>
          </w:p>
          <w:p w14:paraId="6A660D62" w14:textId="740C07BD" w:rsidR="00EB06AB" w:rsidRPr="000B7BD3" w:rsidRDefault="0018685E" w:rsidP="00E235B4">
            <w:pPr>
              <w:pStyle w:val="ListParagraph"/>
              <w:numPr>
                <w:ilvl w:val="0"/>
                <w:numId w:val="4"/>
              </w:numPr>
            </w:pPr>
            <w:r w:rsidRPr="000B7BD3">
              <w:t xml:space="preserve">Doris Weatherford, </w:t>
            </w:r>
            <w:r w:rsidRPr="000B7BD3">
              <w:rPr>
                <w:i/>
              </w:rPr>
              <w:t>American Women and World War II</w:t>
            </w:r>
            <w:r w:rsidRPr="000B7BD3">
              <w:t>, Ch. 11 &amp; 13**</w:t>
            </w:r>
            <w:r w:rsidR="00E235B4" w:rsidRPr="000B7BD3">
              <w:br/>
            </w:r>
          </w:p>
        </w:tc>
        <w:tc>
          <w:tcPr>
            <w:tcW w:w="1278" w:type="dxa"/>
          </w:tcPr>
          <w:p w14:paraId="681C5B77" w14:textId="02BE8F30" w:rsidR="00EB06AB" w:rsidRPr="000B7BD3" w:rsidRDefault="00EB06AB" w:rsidP="00B61E22">
            <w:r w:rsidRPr="000B7BD3">
              <w:t>T2</w:t>
            </w:r>
          </w:p>
        </w:tc>
      </w:tr>
      <w:tr w:rsidR="00EB06AB" w:rsidRPr="000B7BD3" w14:paraId="725908DE" w14:textId="77777777" w:rsidTr="0060144A">
        <w:tc>
          <w:tcPr>
            <w:tcW w:w="828" w:type="dxa"/>
          </w:tcPr>
          <w:p w14:paraId="620F1B42" w14:textId="3AD0FD53" w:rsidR="00EB06AB" w:rsidRPr="000B7BD3" w:rsidRDefault="00D00071">
            <w:r w:rsidRPr="000B7BD3">
              <w:t>R</w:t>
            </w:r>
          </w:p>
        </w:tc>
        <w:tc>
          <w:tcPr>
            <w:tcW w:w="900" w:type="dxa"/>
          </w:tcPr>
          <w:p w14:paraId="183F4C15" w14:textId="2989B335" w:rsidR="00EB06AB" w:rsidRPr="000B7BD3" w:rsidRDefault="0060144A">
            <w:r w:rsidRPr="000B7BD3">
              <w:t>9/29</w:t>
            </w:r>
          </w:p>
        </w:tc>
        <w:tc>
          <w:tcPr>
            <w:tcW w:w="6030" w:type="dxa"/>
          </w:tcPr>
          <w:p w14:paraId="3D7B5A9D" w14:textId="548CFAC9" w:rsidR="001A7E05" w:rsidRPr="000B7BD3" w:rsidRDefault="001A7E05" w:rsidP="001A7E05">
            <w:pPr>
              <w:rPr>
                <w:b/>
              </w:rPr>
            </w:pPr>
            <w:r w:rsidRPr="000B7BD3">
              <w:rPr>
                <w:b/>
              </w:rPr>
              <w:t>Korea and the Re</w:t>
            </w:r>
            <w:r w:rsidR="00F868E7" w:rsidRPr="000B7BD3">
              <w:rPr>
                <w:b/>
              </w:rPr>
              <w:t>making of the American Military</w:t>
            </w:r>
            <w:r w:rsidRPr="000B7BD3">
              <w:rPr>
                <w:b/>
              </w:rPr>
              <w:t xml:space="preserve"> </w:t>
            </w:r>
          </w:p>
          <w:p w14:paraId="429B0132" w14:textId="23840295" w:rsidR="00EB06AB" w:rsidRPr="000B7BD3" w:rsidRDefault="001A7E05" w:rsidP="001A7E05">
            <w:pPr>
              <w:pStyle w:val="ListParagraph"/>
              <w:numPr>
                <w:ilvl w:val="0"/>
                <w:numId w:val="22"/>
              </w:numPr>
            </w:pPr>
            <w:r w:rsidRPr="000B7BD3">
              <w:t xml:space="preserve">Phillips, </w:t>
            </w:r>
            <w:r w:rsidRPr="000B7BD3">
              <w:rPr>
                <w:i/>
              </w:rPr>
              <w:t>War! What is it Good For</w:t>
            </w:r>
            <w:proofErr w:type="gramStart"/>
            <w:r w:rsidRPr="000B7BD3">
              <w:rPr>
                <w:i/>
              </w:rPr>
              <w:t>?,</w:t>
            </w:r>
            <w:proofErr w:type="gramEnd"/>
            <w:r w:rsidRPr="000B7BD3">
              <w:rPr>
                <w:i/>
              </w:rPr>
              <w:t xml:space="preserve"> </w:t>
            </w:r>
            <w:r w:rsidRPr="000B7BD3">
              <w:t>Ch.3-4</w:t>
            </w:r>
            <w:r w:rsidR="00EB06AB" w:rsidRPr="000B7BD3">
              <w:br/>
            </w:r>
          </w:p>
        </w:tc>
        <w:tc>
          <w:tcPr>
            <w:tcW w:w="1278" w:type="dxa"/>
          </w:tcPr>
          <w:p w14:paraId="4F89BE5E" w14:textId="37D03CFA" w:rsidR="00EB06AB" w:rsidRPr="000B7BD3" w:rsidRDefault="00EB06AB" w:rsidP="00B61E22">
            <w:r w:rsidRPr="000B7BD3">
              <w:t>R4</w:t>
            </w:r>
          </w:p>
        </w:tc>
      </w:tr>
      <w:tr w:rsidR="00D173B1" w:rsidRPr="000B7BD3" w14:paraId="2C20B73F" w14:textId="77777777" w:rsidTr="0060144A">
        <w:tc>
          <w:tcPr>
            <w:tcW w:w="828" w:type="dxa"/>
          </w:tcPr>
          <w:p w14:paraId="7DD50A4C" w14:textId="7E22BF94" w:rsidR="00D173B1" w:rsidRPr="000B7BD3" w:rsidRDefault="00D173B1">
            <w:r>
              <w:t>W</w:t>
            </w:r>
          </w:p>
        </w:tc>
        <w:tc>
          <w:tcPr>
            <w:tcW w:w="900" w:type="dxa"/>
          </w:tcPr>
          <w:p w14:paraId="70F903F0" w14:textId="161C8CDA" w:rsidR="00D173B1" w:rsidRPr="000B7BD3" w:rsidRDefault="00D173B1">
            <w:r>
              <w:t>10/3</w:t>
            </w:r>
          </w:p>
        </w:tc>
        <w:tc>
          <w:tcPr>
            <w:tcW w:w="6030" w:type="dxa"/>
          </w:tcPr>
          <w:p w14:paraId="1C18F19F" w14:textId="09C967F9" w:rsidR="00D173B1" w:rsidRPr="000B7BD3" w:rsidRDefault="00D173B1" w:rsidP="001A7E05">
            <w:pPr>
              <w:rPr>
                <w:b/>
              </w:rPr>
            </w:pPr>
            <w:r>
              <w:rPr>
                <w:b/>
              </w:rPr>
              <w:t xml:space="preserve">Bill </w:t>
            </w:r>
            <w:proofErr w:type="spellStart"/>
            <w:r>
              <w:rPr>
                <w:b/>
              </w:rPr>
              <w:t>Ehrhardt</w:t>
            </w:r>
            <w:proofErr w:type="spellEnd"/>
            <w:r>
              <w:rPr>
                <w:b/>
              </w:rPr>
              <w:t xml:space="preserve"> Lecture – Time and Location TBA (Optional)</w:t>
            </w:r>
            <w:bookmarkStart w:id="0" w:name="_GoBack"/>
            <w:bookmarkEnd w:id="0"/>
            <w:r>
              <w:rPr>
                <w:b/>
              </w:rPr>
              <w:br/>
            </w:r>
          </w:p>
        </w:tc>
        <w:tc>
          <w:tcPr>
            <w:tcW w:w="1278" w:type="dxa"/>
          </w:tcPr>
          <w:p w14:paraId="03FA15BD" w14:textId="77777777" w:rsidR="00D173B1" w:rsidRPr="000B7BD3" w:rsidRDefault="00D173B1" w:rsidP="00B61E22"/>
        </w:tc>
      </w:tr>
      <w:tr w:rsidR="00EB06AB" w:rsidRPr="000B7BD3" w14:paraId="1EEEC205" w14:textId="77777777" w:rsidTr="0060144A">
        <w:tc>
          <w:tcPr>
            <w:tcW w:w="828" w:type="dxa"/>
          </w:tcPr>
          <w:p w14:paraId="1CB53AB0" w14:textId="7E93292C" w:rsidR="00EB06AB" w:rsidRPr="000B7BD3" w:rsidRDefault="00D00071">
            <w:r w:rsidRPr="000B7BD3">
              <w:t>T</w:t>
            </w:r>
          </w:p>
        </w:tc>
        <w:tc>
          <w:tcPr>
            <w:tcW w:w="900" w:type="dxa"/>
          </w:tcPr>
          <w:p w14:paraId="5CB61BFE" w14:textId="7E640917" w:rsidR="00EB06AB" w:rsidRPr="000B7BD3" w:rsidRDefault="0060144A">
            <w:r w:rsidRPr="000B7BD3">
              <w:t>10/4</w:t>
            </w:r>
          </w:p>
        </w:tc>
        <w:tc>
          <w:tcPr>
            <w:tcW w:w="6030" w:type="dxa"/>
          </w:tcPr>
          <w:p w14:paraId="63AF3E38" w14:textId="77777777" w:rsidR="002821F5" w:rsidRPr="000B7BD3" w:rsidRDefault="002821F5" w:rsidP="002821F5">
            <w:pPr>
              <w:rPr>
                <w:b/>
              </w:rPr>
            </w:pPr>
            <w:r w:rsidRPr="000B7BD3">
              <w:rPr>
                <w:b/>
              </w:rPr>
              <w:t>Cold War Domesticity and the U.S. Military</w:t>
            </w:r>
          </w:p>
          <w:p w14:paraId="515CB61D" w14:textId="24770D1D" w:rsidR="001A7E05" w:rsidRPr="000B7BD3" w:rsidRDefault="002821F5" w:rsidP="002821F5">
            <w:pPr>
              <w:pStyle w:val="ListParagraph"/>
              <w:numPr>
                <w:ilvl w:val="0"/>
                <w:numId w:val="22"/>
              </w:numPr>
              <w:rPr>
                <w:b/>
              </w:rPr>
            </w:pPr>
            <w:r w:rsidRPr="000B7BD3">
              <w:t xml:space="preserve">Donna </w:t>
            </w:r>
            <w:proofErr w:type="spellStart"/>
            <w:r w:rsidRPr="000B7BD3">
              <w:t>Alvah</w:t>
            </w:r>
            <w:proofErr w:type="spellEnd"/>
            <w:r w:rsidRPr="000B7BD3">
              <w:t xml:space="preserve">, “Unofficial Ambassadors,” from </w:t>
            </w:r>
            <w:r w:rsidRPr="000B7BD3">
              <w:rPr>
                <w:i/>
              </w:rPr>
              <w:t>Unofficial Ambassadors: American Military Families and the Cold War, 1946-1965</w:t>
            </w:r>
            <w:r w:rsidRPr="000B7BD3">
              <w:t>**</w:t>
            </w:r>
            <w:r w:rsidR="00D00071" w:rsidRPr="000B7BD3">
              <w:br/>
            </w:r>
          </w:p>
        </w:tc>
        <w:tc>
          <w:tcPr>
            <w:tcW w:w="1278" w:type="dxa"/>
          </w:tcPr>
          <w:p w14:paraId="6CC36461" w14:textId="46FFD8A5" w:rsidR="00EB06AB" w:rsidRPr="000B7BD3" w:rsidRDefault="00EB06AB" w:rsidP="00B61E22"/>
        </w:tc>
      </w:tr>
      <w:tr w:rsidR="00EB06AB" w:rsidRPr="000B7BD3" w14:paraId="2D8302A8" w14:textId="77777777" w:rsidTr="0060144A">
        <w:tc>
          <w:tcPr>
            <w:tcW w:w="828" w:type="dxa"/>
          </w:tcPr>
          <w:p w14:paraId="60B32B63" w14:textId="6E9F7CE2" w:rsidR="00EB06AB" w:rsidRPr="000B7BD3" w:rsidRDefault="00D00071">
            <w:r w:rsidRPr="000B7BD3">
              <w:t>R</w:t>
            </w:r>
          </w:p>
        </w:tc>
        <w:tc>
          <w:tcPr>
            <w:tcW w:w="900" w:type="dxa"/>
          </w:tcPr>
          <w:p w14:paraId="4895F921" w14:textId="2C635B4A" w:rsidR="00EB06AB" w:rsidRPr="000B7BD3" w:rsidRDefault="0060144A">
            <w:r w:rsidRPr="000B7BD3">
              <w:t>10/6</w:t>
            </w:r>
          </w:p>
        </w:tc>
        <w:tc>
          <w:tcPr>
            <w:tcW w:w="6030" w:type="dxa"/>
          </w:tcPr>
          <w:p w14:paraId="434D7B64" w14:textId="77777777" w:rsidR="002821F5" w:rsidRPr="000B7BD3" w:rsidRDefault="002821F5" w:rsidP="002821F5">
            <w:pPr>
              <w:rPr>
                <w:b/>
              </w:rPr>
            </w:pPr>
            <w:r w:rsidRPr="000B7BD3">
              <w:rPr>
                <w:b/>
              </w:rPr>
              <w:t>Cold War Militarism at Home:</w:t>
            </w:r>
          </w:p>
          <w:p w14:paraId="0467F61B" w14:textId="0E8392F5" w:rsidR="00EB06AB" w:rsidRPr="000B7BD3" w:rsidRDefault="002821F5" w:rsidP="002821F5">
            <w:pPr>
              <w:pStyle w:val="ListParagraph"/>
              <w:numPr>
                <w:ilvl w:val="0"/>
                <w:numId w:val="23"/>
              </w:numPr>
            </w:pPr>
            <w:proofErr w:type="spellStart"/>
            <w:r w:rsidRPr="000B7BD3">
              <w:t>Heefner</w:t>
            </w:r>
            <w:proofErr w:type="spellEnd"/>
            <w:r w:rsidRPr="000B7BD3">
              <w:t xml:space="preserve">, </w:t>
            </w:r>
            <w:r w:rsidRPr="000B7BD3">
              <w:rPr>
                <w:i/>
              </w:rPr>
              <w:t>The Missile Next Door</w:t>
            </w:r>
            <w:r w:rsidRPr="000B7BD3">
              <w:t>, Ch. 1-2</w:t>
            </w:r>
            <w:r w:rsidR="00EB06AB" w:rsidRPr="000B7BD3">
              <w:br/>
            </w:r>
          </w:p>
        </w:tc>
        <w:tc>
          <w:tcPr>
            <w:tcW w:w="1278" w:type="dxa"/>
          </w:tcPr>
          <w:p w14:paraId="2359223B" w14:textId="43F37547" w:rsidR="00EB06AB" w:rsidRPr="000B7BD3" w:rsidRDefault="00EB06AB" w:rsidP="00B61E22">
            <w:r w:rsidRPr="000B7BD3">
              <w:t>R5</w:t>
            </w:r>
          </w:p>
        </w:tc>
      </w:tr>
      <w:tr w:rsidR="00EB06AB" w:rsidRPr="000B7BD3" w14:paraId="6FD3B051" w14:textId="77777777" w:rsidTr="0060144A">
        <w:tc>
          <w:tcPr>
            <w:tcW w:w="828" w:type="dxa"/>
          </w:tcPr>
          <w:p w14:paraId="597A7CAE" w14:textId="7786ECB3" w:rsidR="00EB06AB" w:rsidRPr="000B7BD3" w:rsidRDefault="00D00071">
            <w:r w:rsidRPr="000B7BD3">
              <w:t>T</w:t>
            </w:r>
          </w:p>
        </w:tc>
        <w:tc>
          <w:tcPr>
            <w:tcW w:w="900" w:type="dxa"/>
          </w:tcPr>
          <w:p w14:paraId="1609BCFA" w14:textId="39F7C335" w:rsidR="00EB06AB" w:rsidRPr="000B7BD3" w:rsidRDefault="0060144A">
            <w:r w:rsidRPr="000B7BD3">
              <w:t>10/11</w:t>
            </w:r>
          </w:p>
        </w:tc>
        <w:tc>
          <w:tcPr>
            <w:tcW w:w="6030" w:type="dxa"/>
          </w:tcPr>
          <w:p w14:paraId="236CB39B" w14:textId="77777777" w:rsidR="002821F5" w:rsidRPr="000B7BD3" w:rsidRDefault="002821F5" w:rsidP="002821F5">
            <w:pPr>
              <w:rPr>
                <w:b/>
              </w:rPr>
            </w:pPr>
            <w:r w:rsidRPr="000B7BD3">
              <w:rPr>
                <w:b/>
              </w:rPr>
              <w:t>Cold War Militarism at Home:</w:t>
            </w:r>
          </w:p>
          <w:p w14:paraId="2358ED6A" w14:textId="6C77D713" w:rsidR="00EB06AB" w:rsidRPr="000B7BD3" w:rsidRDefault="002821F5" w:rsidP="002821F5">
            <w:pPr>
              <w:pStyle w:val="ListParagraph"/>
              <w:numPr>
                <w:ilvl w:val="0"/>
                <w:numId w:val="6"/>
              </w:numPr>
            </w:pPr>
            <w:proofErr w:type="spellStart"/>
            <w:r w:rsidRPr="000B7BD3">
              <w:t>Heefner</w:t>
            </w:r>
            <w:proofErr w:type="spellEnd"/>
            <w:r w:rsidRPr="000B7BD3">
              <w:t xml:space="preserve">, </w:t>
            </w:r>
            <w:r w:rsidRPr="000B7BD3">
              <w:rPr>
                <w:i/>
              </w:rPr>
              <w:t>The Missile Next Door</w:t>
            </w:r>
            <w:r w:rsidRPr="000B7BD3">
              <w:t>, Ch. 3-5</w:t>
            </w:r>
            <w:r w:rsidR="00EB06AB" w:rsidRPr="000B7BD3">
              <w:br/>
            </w:r>
          </w:p>
        </w:tc>
        <w:tc>
          <w:tcPr>
            <w:tcW w:w="1278" w:type="dxa"/>
          </w:tcPr>
          <w:p w14:paraId="2598BE92" w14:textId="758CF01D" w:rsidR="00EB06AB" w:rsidRPr="000B7BD3" w:rsidRDefault="00EB06AB" w:rsidP="00B61E22">
            <w:r w:rsidRPr="000B7BD3">
              <w:t>T3</w:t>
            </w:r>
          </w:p>
        </w:tc>
      </w:tr>
      <w:tr w:rsidR="00EB06AB" w:rsidRPr="000B7BD3" w14:paraId="22FD4F30" w14:textId="77777777" w:rsidTr="0060144A">
        <w:tc>
          <w:tcPr>
            <w:tcW w:w="828" w:type="dxa"/>
          </w:tcPr>
          <w:p w14:paraId="71158508" w14:textId="0E337FF3" w:rsidR="00EB06AB" w:rsidRPr="000B7BD3" w:rsidRDefault="00D00071">
            <w:r w:rsidRPr="000B7BD3">
              <w:t>R</w:t>
            </w:r>
          </w:p>
        </w:tc>
        <w:tc>
          <w:tcPr>
            <w:tcW w:w="900" w:type="dxa"/>
          </w:tcPr>
          <w:p w14:paraId="272005FE" w14:textId="749834DE" w:rsidR="00EB06AB" w:rsidRPr="000B7BD3" w:rsidRDefault="0060144A">
            <w:r w:rsidRPr="000B7BD3">
              <w:t>10/13</w:t>
            </w:r>
          </w:p>
        </w:tc>
        <w:tc>
          <w:tcPr>
            <w:tcW w:w="6030" w:type="dxa"/>
          </w:tcPr>
          <w:p w14:paraId="20946B0E" w14:textId="1019C343" w:rsidR="00EB06AB" w:rsidRPr="000B7BD3" w:rsidRDefault="00F868E7" w:rsidP="00F868E7">
            <w:pPr>
              <w:rPr>
                <w:b/>
              </w:rPr>
            </w:pPr>
            <w:r w:rsidRPr="000B7BD3">
              <w:rPr>
                <w:b/>
              </w:rPr>
              <w:t>Library Session: Finding Sources for Your Review Essay</w:t>
            </w:r>
            <w:r w:rsidR="00EB06AB" w:rsidRPr="000B7BD3">
              <w:rPr>
                <w:b/>
              </w:rPr>
              <w:br/>
            </w:r>
          </w:p>
        </w:tc>
        <w:tc>
          <w:tcPr>
            <w:tcW w:w="1278" w:type="dxa"/>
          </w:tcPr>
          <w:p w14:paraId="78DBCABB" w14:textId="52251A20" w:rsidR="00EB06AB" w:rsidRPr="000B7BD3" w:rsidRDefault="00EB06AB" w:rsidP="00B61E22">
            <w:r w:rsidRPr="000B7BD3">
              <w:t>R6</w:t>
            </w:r>
          </w:p>
        </w:tc>
      </w:tr>
      <w:tr w:rsidR="00295700" w:rsidRPr="000B7BD3" w14:paraId="2F6CFF10" w14:textId="77777777" w:rsidTr="0060144A">
        <w:tc>
          <w:tcPr>
            <w:tcW w:w="828" w:type="dxa"/>
          </w:tcPr>
          <w:p w14:paraId="7E24D232" w14:textId="0381CF40" w:rsidR="00295700" w:rsidRPr="000B7BD3" w:rsidRDefault="00295700">
            <w:r w:rsidRPr="000B7BD3">
              <w:t>F</w:t>
            </w:r>
          </w:p>
        </w:tc>
        <w:tc>
          <w:tcPr>
            <w:tcW w:w="900" w:type="dxa"/>
          </w:tcPr>
          <w:p w14:paraId="65A0BEB3" w14:textId="25F873D6" w:rsidR="00295700" w:rsidRPr="000B7BD3" w:rsidRDefault="00295700">
            <w:r w:rsidRPr="000B7BD3">
              <w:t>10/14</w:t>
            </w:r>
          </w:p>
        </w:tc>
        <w:tc>
          <w:tcPr>
            <w:tcW w:w="6030" w:type="dxa"/>
          </w:tcPr>
          <w:p w14:paraId="62C0C0A7" w14:textId="2E38FC59" w:rsidR="00295700" w:rsidRPr="000B7BD3" w:rsidRDefault="00295700" w:rsidP="002821F5">
            <w:pPr>
              <w:rPr>
                <w:b/>
              </w:rPr>
            </w:pPr>
            <w:r w:rsidRPr="000B7BD3">
              <w:rPr>
                <w:b/>
              </w:rPr>
              <w:t>Paper #1 Due by 12:00PM</w:t>
            </w:r>
            <w:r w:rsidRPr="000B7BD3">
              <w:rPr>
                <w:b/>
              </w:rPr>
              <w:br/>
            </w:r>
          </w:p>
        </w:tc>
        <w:tc>
          <w:tcPr>
            <w:tcW w:w="1278" w:type="dxa"/>
          </w:tcPr>
          <w:p w14:paraId="17ABA887" w14:textId="77777777" w:rsidR="00295700" w:rsidRPr="000B7BD3" w:rsidRDefault="00295700" w:rsidP="00B61E22"/>
        </w:tc>
      </w:tr>
      <w:tr w:rsidR="00EB06AB" w:rsidRPr="000B7BD3" w14:paraId="76C4D685" w14:textId="77777777" w:rsidTr="0060144A">
        <w:tc>
          <w:tcPr>
            <w:tcW w:w="828" w:type="dxa"/>
          </w:tcPr>
          <w:p w14:paraId="70E80EAD" w14:textId="68C03690" w:rsidR="00EB06AB" w:rsidRPr="000B7BD3" w:rsidRDefault="00D00071">
            <w:r w:rsidRPr="000B7BD3">
              <w:t>T</w:t>
            </w:r>
          </w:p>
        </w:tc>
        <w:tc>
          <w:tcPr>
            <w:tcW w:w="900" w:type="dxa"/>
          </w:tcPr>
          <w:p w14:paraId="6AD3A39A" w14:textId="0F8E7E38" w:rsidR="00EB06AB" w:rsidRPr="000B7BD3" w:rsidRDefault="0060144A">
            <w:r w:rsidRPr="000B7BD3">
              <w:t>10/18</w:t>
            </w:r>
          </w:p>
        </w:tc>
        <w:tc>
          <w:tcPr>
            <w:tcW w:w="6030" w:type="dxa"/>
          </w:tcPr>
          <w:p w14:paraId="58E97CFB" w14:textId="1023AB25" w:rsidR="00F868E7" w:rsidRPr="000B7BD3" w:rsidRDefault="00F868E7" w:rsidP="00F868E7">
            <w:pPr>
              <w:rPr>
                <w:b/>
              </w:rPr>
            </w:pPr>
            <w:r w:rsidRPr="000B7BD3">
              <w:rPr>
                <w:b/>
              </w:rPr>
              <w:t xml:space="preserve">Class, </w:t>
            </w:r>
            <w:r w:rsidR="00091E20">
              <w:rPr>
                <w:b/>
              </w:rPr>
              <w:t xml:space="preserve">Citizenship, and Obligation During </w:t>
            </w:r>
            <w:r w:rsidRPr="000B7BD3">
              <w:rPr>
                <w:b/>
              </w:rPr>
              <w:t>the Vietnam War:</w:t>
            </w:r>
          </w:p>
          <w:p w14:paraId="106C960F" w14:textId="77777777" w:rsidR="00F868E7" w:rsidRPr="000B7BD3" w:rsidRDefault="00F868E7" w:rsidP="00F868E7">
            <w:pPr>
              <w:pStyle w:val="ListParagraph"/>
              <w:numPr>
                <w:ilvl w:val="0"/>
                <w:numId w:val="6"/>
              </w:numPr>
            </w:pPr>
            <w:r w:rsidRPr="000B7BD3">
              <w:t xml:space="preserve">Christian G. </w:t>
            </w:r>
            <w:proofErr w:type="spellStart"/>
            <w:r w:rsidRPr="000B7BD3">
              <w:t>Appy</w:t>
            </w:r>
            <w:proofErr w:type="spellEnd"/>
            <w:r w:rsidRPr="000B7BD3">
              <w:t xml:space="preserve">, “Life Before the Nam, from </w:t>
            </w:r>
            <w:r w:rsidRPr="000B7BD3">
              <w:rPr>
                <w:i/>
              </w:rPr>
              <w:t>Working Class War: American Combat Soldiers and Vietnam**</w:t>
            </w:r>
          </w:p>
          <w:p w14:paraId="65FDA71D" w14:textId="77777777" w:rsidR="00091E20" w:rsidRPr="00091E20" w:rsidRDefault="00F868E7" w:rsidP="00F868E7">
            <w:pPr>
              <w:pStyle w:val="ListParagraph"/>
              <w:numPr>
                <w:ilvl w:val="0"/>
                <w:numId w:val="6"/>
              </w:numPr>
              <w:rPr>
                <w:b/>
              </w:rPr>
            </w:pPr>
            <w:r w:rsidRPr="000B7BD3">
              <w:t xml:space="preserve">Michael Foley, “Filtered Resistance: Draft Resisters’ Image and Reality,” from </w:t>
            </w:r>
            <w:r w:rsidRPr="000B7BD3">
              <w:rPr>
                <w:i/>
              </w:rPr>
              <w:t>Confronting the War Machine: Draft Resistance During the Vietnam War</w:t>
            </w:r>
            <w:r w:rsidRPr="000B7BD3">
              <w:t>**</w:t>
            </w:r>
          </w:p>
          <w:p w14:paraId="6B62A28B" w14:textId="44FA9033" w:rsidR="00EB06AB" w:rsidRPr="000B7BD3" w:rsidRDefault="00091E20" w:rsidP="00091E20">
            <w:pPr>
              <w:pStyle w:val="ListParagraph"/>
              <w:numPr>
                <w:ilvl w:val="0"/>
                <w:numId w:val="6"/>
              </w:numPr>
              <w:rPr>
                <w:b/>
              </w:rPr>
            </w:pPr>
            <w:r>
              <w:t xml:space="preserve">Robert Self, “Last Man to Die: Vietnam and the Citizen Soldier,” from </w:t>
            </w:r>
            <w:r w:rsidRPr="00091E20">
              <w:rPr>
                <w:i/>
              </w:rPr>
              <w:t>All in the Family: The Realignment of American Democracy Since the 1960s</w:t>
            </w:r>
            <w:proofErr w:type="gramStart"/>
            <w:r>
              <w:t>.*</w:t>
            </w:r>
            <w:proofErr w:type="gramEnd"/>
            <w:r>
              <w:t>*</w:t>
            </w:r>
            <w:r w:rsidR="002821F5" w:rsidRPr="000B7BD3">
              <w:br/>
            </w:r>
          </w:p>
        </w:tc>
        <w:tc>
          <w:tcPr>
            <w:tcW w:w="1278" w:type="dxa"/>
          </w:tcPr>
          <w:p w14:paraId="42028C15" w14:textId="6A256603" w:rsidR="00EB06AB" w:rsidRPr="000B7BD3" w:rsidRDefault="00EB06AB" w:rsidP="00B61E22">
            <w:r w:rsidRPr="000B7BD3">
              <w:t>T4</w:t>
            </w:r>
          </w:p>
        </w:tc>
      </w:tr>
      <w:tr w:rsidR="00EB06AB" w:rsidRPr="000B7BD3" w14:paraId="4A406D2A" w14:textId="77777777" w:rsidTr="0060144A">
        <w:tc>
          <w:tcPr>
            <w:tcW w:w="828" w:type="dxa"/>
          </w:tcPr>
          <w:p w14:paraId="2A59F681" w14:textId="30FA0F60" w:rsidR="00EB06AB" w:rsidRPr="000B7BD3" w:rsidRDefault="00D00071">
            <w:r w:rsidRPr="000B7BD3">
              <w:t>R</w:t>
            </w:r>
          </w:p>
        </w:tc>
        <w:tc>
          <w:tcPr>
            <w:tcW w:w="900" w:type="dxa"/>
          </w:tcPr>
          <w:p w14:paraId="7866A4CC" w14:textId="02820C4C" w:rsidR="00EB06AB" w:rsidRPr="000B7BD3" w:rsidRDefault="0060144A">
            <w:r w:rsidRPr="000B7BD3">
              <w:t>10/20</w:t>
            </w:r>
          </w:p>
        </w:tc>
        <w:tc>
          <w:tcPr>
            <w:tcW w:w="6030" w:type="dxa"/>
          </w:tcPr>
          <w:p w14:paraId="4772F4A6" w14:textId="77777777" w:rsidR="00F868E7" w:rsidRPr="000B7BD3" w:rsidRDefault="00F868E7" w:rsidP="00F868E7">
            <w:pPr>
              <w:rPr>
                <w:b/>
              </w:rPr>
            </w:pPr>
            <w:r w:rsidRPr="000B7BD3">
              <w:rPr>
                <w:b/>
              </w:rPr>
              <w:t>Military Life in Vietnam:</w:t>
            </w:r>
          </w:p>
          <w:p w14:paraId="20205B73" w14:textId="77777777" w:rsidR="00F868E7" w:rsidRPr="000B7BD3" w:rsidRDefault="00F868E7" w:rsidP="00F868E7">
            <w:pPr>
              <w:pStyle w:val="ListParagraph"/>
              <w:numPr>
                <w:ilvl w:val="0"/>
                <w:numId w:val="7"/>
              </w:numPr>
            </w:pPr>
            <w:r w:rsidRPr="000B7BD3">
              <w:t xml:space="preserve">Kyle Longley, “The First Wave: The American Infantryman in Vietnam, 1961-1968,” from </w:t>
            </w:r>
            <w:r w:rsidRPr="000B7BD3">
              <w:rPr>
                <w:i/>
              </w:rPr>
              <w:t>Grunts: The American Combat Soldier in Vietnam</w:t>
            </w:r>
            <w:r w:rsidRPr="000B7BD3">
              <w:t>**</w:t>
            </w:r>
          </w:p>
          <w:p w14:paraId="1DB697A3" w14:textId="146107C6" w:rsidR="00EB06AB" w:rsidRPr="000B7BD3" w:rsidRDefault="00F868E7" w:rsidP="00F868E7">
            <w:pPr>
              <w:pStyle w:val="ListParagraph"/>
              <w:numPr>
                <w:ilvl w:val="0"/>
                <w:numId w:val="7"/>
              </w:numPr>
            </w:pPr>
            <w:r w:rsidRPr="000B7BD3">
              <w:t xml:space="preserve">Meredith H. Lair, “This Place Just Isn’t John Wayne: U.S. Military Bases in Vietnam” and “The Things They Bought: G.I. Consumerism in Vietnam” from </w:t>
            </w:r>
            <w:r w:rsidRPr="000B7BD3">
              <w:rPr>
                <w:i/>
              </w:rPr>
              <w:t>Armed With Abundance: Consumerism and Soldiering in the Vietnam War</w:t>
            </w:r>
            <w:r w:rsidRPr="000B7BD3">
              <w:t>**</w:t>
            </w:r>
            <w:r w:rsidR="00EB06AB" w:rsidRPr="000B7BD3">
              <w:br/>
            </w:r>
          </w:p>
        </w:tc>
        <w:tc>
          <w:tcPr>
            <w:tcW w:w="1278" w:type="dxa"/>
          </w:tcPr>
          <w:p w14:paraId="00E41D30" w14:textId="5A476BA8" w:rsidR="00EB06AB" w:rsidRPr="000B7BD3" w:rsidRDefault="00EB06AB" w:rsidP="00B61E22">
            <w:r w:rsidRPr="000B7BD3">
              <w:t>R7</w:t>
            </w:r>
          </w:p>
        </w:tc>
      </w:tr>
      <w:tr w:rsidR="00EB06AB" w:rsidRPr="000B7BD3" w14:paraId="6EBC9D7E" w14:textId="77777777" w:rsidTr="0060144A">
        <w:tc>
          <w:tcPr>
            <w:tcW w:w="828" w:type="dxa"/>
          </w:tcPr>
          <w:p w14:paraId="6F303420" w14:textId="042CA048" w:rsidR="00EB06AB" w:rsidRPr="000B7BD3" w:rsidRDefault="00D00071">
            <w:r w:rsidRPr="000B7BD3">
              <w:t>T</w:t>
            </w:r>
          </w:p>
        </w:tc>
        <w:tc>
          <w:tcPr>
            <w:tcW w:w="900" w:type="dxa"/>
          </w:tcPr>
          <w:p w14:paraId="2F65C078" w14:textId="444A25D1" w:rsidR="00EB06AB" w:rsidRPr="000B7BD3" w:rsidRDefault="0060144A">
            <w:r w:rsidRPr="000B7BD3">
              <w:t>10/25</w:t>
            </w:r>
          </w:p>
        </w:tc>
        <w:tc>
          <w:tcPr>
            <w:tcW w:w="6030" w:type="dxa"/>
          </w:tcPr>
          <w:p w14:paraId="47FCA361" w14:textId="77777777" w:rsidR="00F868E7" w:rsidRPr="000B7BD3" w:rsidRDefault="00F868E7" w:rsidP="00F868E7">
            <w:pPr>
              <w:rPr>
                <w:b/>
              </w:rPr>
            </w:pPr>
            <w:r w:rsidRPr="000B7BD3">
              <w:rPr>
                <w:b/>
              </w:rPr>
              <w:t>American Women in Vietnam:</w:t>
            </w:r>
          </w:p>
          <w:p w14:paraId="42148B04" w14:textId="77777777" w:rsidR="00F868E7" w:rsidRPr="000B7BD3" w:rsidRDefault="00F868E7" w:rsidP="00F868E7">
            <w:pPr>
              <w:pStyle w:val="ListParagraph"/>
              <w:numPr>
                <w:ilvl w:val="0"/>
                <w:numId w:val="7"/>
              </w:numPr>
            </w:pPr>
            <w:r w:rsidRPr="000B7BD3">
              <w:t xml:space="preserve">Kara </w:t>
            </w:r>
            <w:proofErr w:type="spellStart"/>
            <w:r w:rsidRPr="000B7BD3">
              <w:t>Vuic</w:t>
            </w:r>
            <w:proofErr w:type="spellEnd"/>
            <w:r w:rsidRPr="000B7BD3">
              <w:t xml:space="preserve">, “‘Helmets and Hair Curlers:’ Gender and Wartime Nursing,” from </w:t>
            </w:r>
            <w:r w:rsidRPr="000B7BD3">
              <w:rPr>
                <w:i/>
              </w:rPr>
              <w:t>Officer, Nurse, Woman: The Army Nurse Corps in Vietnam</w:t>
            </w:r>
            <w:r w:rsidRPr="000B7BD3">
              <w:t>**</w:t>
            </w:r>
          </w:p>
          <w:p w14:paraId="089ADD8C" w14:textId="2925FCEF" w:rsidR="00EB06AB" w:rsidRPr="000B7BD3" w:rsidRDefault="00F868E7" w:rsidP="00F868E7">
            <w:pPr>
              <w:pStyle w:val="ListParagraph"/>
              <w:numPr>
                <w:ilvl w:val="0"/>
                <w:numId w:val="7"/>
              </w:numPr>
            </w:pPr>
            <w:r w:rsidRPr="000B7BD3">
              <w:t xml:space="preserve">Heather </w:t>
            </w:r>
            <w:proofErr w:type="spellStart"/>
            <w:r w:rsidRPr="000B7BD3">
              <w:t>Stur</w:t>
            </w:r>
            <w:proofErr w:type="spellEnd"/>
            <w:r w:rsidRPr="000B7BD3">
              <w:t xml:space="preserve">, “‘She Could Be The Girl Next Door:’ The Red Cross SRAO in Vietnam,” from </w:t>
            </w:r>
            <w:r w:rsidRPr="000B7BD3">
              <w:rPr>
                <w:i/>
              </w:rPr>
              <w:t>Beyond Combat: Women and Gender in the Vietnam War Era</w:t>
            </w:r>
            <w:r w:rsidRPr="000B7BD3">
              <w:t>**</w:t>
            </w:r>
            <w:r w:rsidRPr="000B7BD3">
              <w:br/>
            </w:r>
          </w:p>
        </w:tc>
        <w:tc>
          <w:tcPr>
            <w:tcW w:w="1278" w:type="dxa"/>
          </w:tcPr>
          <w:p w14:paraId="3831EF78" w14:textId="787EF108" w:rsidR="00EB06AB" w:rsidRPr="000B7BD3" w:rsidRDefault="00EB06AB" w:rsidP="00B61E22">
            <w:r w:rsidRPr="000B7BD3">
              <w:t>T5</w:t>
            </w:r>
          </w:p>
        </w:tc>
      </w:tr>
      <w:tr w:rsidR="00EB06AB" w:rsidRPr="000B7BD3" w14:paraId="4DD5566B" w14:textId="77777777" w:rsidTr="0060144A">
        <w:tc>
          <w:tcPr>
            <w:tcW w:w="828" w:type="dxa"/>
          </w:tcPr>
          <w:p w14:paraId="441648EF" w14:textId="3F0DABCB" w:rsidR="00EB06AB" w:rsidRPr="000B7BD3" w:rsidRDefault="00D00071">
            <w:r w:rsidRPr="000B7BD3">
              <w:t>R</w:t>
            </w:r>
          </w:p>
        </w:tc>
        <w:tc>
          <w:tcPr>
            <w:tcW w:w="900" w:type="dxa"/>
          </w:tcPr>
          <w:p w14:paraId="54F2CEE0" w14:textId="7F0BBDC7" w:rsidR="00EB06AB" w:rsidRPr="000B7BD3" w:rsidRDefault="0060144A">
            <w:r w:rsidRPr="000B7BD3">
              <w:t>10/27</w:t>
            </w:r>
          </w:p>
        </w:tc>
        <w:tc>
          <w:tcPr>
            <w:tcW w:w="6030" w:type="dxa"/>
          </w:tcPr>
          <w:p w14:paraId="7559F1B0" w14:textId="77777777" w:rsidR="00F868E7" w:rsidRPr="000B7BD3" w:rsidRDefault="00F868E7" w:rsidP="00F868E7">
            <w:pPr>
              <w:rPr>
                <w:b/>
              </w:rPr>
            </w:pPr>
            <w:r w:rsidRPr="000B7BD3">
              <w:rPr>
                <w:b/>
              </w:rPr>
              <w:t>Protesting Vietnam, Part I</w:t>
            </w:r>
          </w:p>
          <w:p w14:paraId="1699E5E0" w14:textId="77777777" w:rsidR="00F868E7" w:rsidRPr="000B7BD3" w:rsidRDefault="00F868E7" w:rsidP="00F868E7">
            <w:pPr>
              <w:pStyle w:val="ListParagraph"/>
              <w:numPr>
                <w:ilvl w:val="0"/>
                <w:numId w:val="7"/>
              </w:numPr>
            </w:pPr>
            <w:r w:rsidRPr="000B7BD3">
              <w:t xml:space="preserve">Phillips, </w:t>
            </w:r>
            <w:r w:rsidRPr="000B7BD3">
              <w:rPr>
                <w:i/>
              </w:rPr>
              <w:t>War! What is it Good For</w:t>
            </w:r>
            <w:proofErr w:type="gramStart"/>
            <w:r w:rsidRPr="000B7BD3">
              <w:rPr>
                <w:i/>
              </w:rPr>
              <w:t>?</w:t>
            </w:r>
            <w:r w:rsidRPr="000B7BD3">
              <w:t>,</w:t>
            </w:r>
            <w:proofErr w:type="gramEnd"/>
            <w:r w:rsidRPr="000B7BD3">
              <w:t xml:space="preserve"> Ch. 6</w:t>
            </w:r>
          </w:p>
          <w:p w14:paraId="29147C72" w14:textId="77777777" w:rsidR="00F868E7" w:rsidRPr="000B7BD3" w:rsidRDefault="00F868E7" w:rsidP="00F868E7">
            <w:pPr>
              <w:pStyle w:val="ListParagraph"/>
              <w:numPr>
                <w:ilvl w:val="0"/>
                <w:numId w:val="7"/>
              </w:numPr>
            </w:pPr>
            <w:r w:rsidRPr="000B7BD3">
              <w:t xml:space="preserve">Lorena </w:t>
            </w:r>
            <w:proofErr w:type="spellStart"/>
            <w:r w:rsidRPr="000B7BD3">
              <w:t>Oropeza</w:t>
            </w:r>
            <w:proofErr w:type="spellEnd"/>
            <w:r w:rsidRPr="000B7BD3">
              <w:t xml:space="preserve">, “‘Branches of the Same Tree:’ </w:t>
            </w:r>
            <w:proofErr w:type="spellStart"/>
            <w:r w:rsidRPr="000B7BD3">
              <w:t>Aztlan</w:t>
            </w:r>
            <w:proofErr w:type="spellEnd"/>
            <w:r w:rsidRPr="000B7BD3">
              <w:t xml:space="preserve"> and Vietnam” from </w:t>
            </w:r>
            <w:proofErr w:type="spellStart"/>
            <w:r w:rsidRPr="000B7BD3">
              <w:rPr>
                <w:i/>
              </w:rPr>
              <w:t>Raza</w:t>
            </w:r>
            <w:proofErr w:type="spellEnd"/>
            <w:r w:rsidRPr="000B7BD3">
              <w:rPr>
                <w:i/>
              </w:rPr>
              <w:t xml:space="preserve"> Si! Guerra No</w:t>
            </w:r>
            <w:proofErr w:type="gramStart"/>
            <w:r w:rsidRPr="000B7BD3">
              <w:rPr>
                <w:i/>
              </w:rPr>
              <w:t>!:</w:t>
            </w:r>
            <w:proofErr w:type="gramEnd"/>
            <w:r w:rsidRPr="000B7BD3">
              <w:rPr>
                <w:i/>
              </w:rPr>
              <w:t xml:space="preserve"> Chicano Protest and Patriotism During the Viet Nam War Era</w:t>
            </w:r>
            <w:r w:rsidRPr="000B7BD3">
              <w:t>**</w:t>
            </w:r>
          </w:p>
          <w:p w14:paraId="11F6F27D" w14:textId="77777777" w:rsidR="00F868E7" w:rsidRPr="000B7BD3" w:rsidRDefault="00F868E7" w:rsidP="00F868E7">
            <w:pPr>
              <w:pStyle w:val="ListParagraph"/>
              <w:numPr>
                <w:ilvl w:val="0"/>
                <w:numId w:val="7"/>
              </w:numPr>
            </w:pPr>
            <w:r w:rsidRPr="000B7BD3">
              <w:t>Martin Luther King, “A Time to Break the Silence” (1967)**</w:t>
            </w:r>
          </w:p>
          <w:p w14:paraId="49C16D6A" w14:textId="77777777" w:rsidR="00F868E7" w:rsidRPr="000B7BD3" w:rsidRDefault="00F868E7" w:rsidP="00F868E7">
            <w:pPr>
              <w:pStyle w:val="ListParagraph"/>
              <w:numPr>
                <w:ilvl w:val="0"/>
                <w:numId w:val="7"/>
              </w:numPr>
            </w:pPr>
            <w:r w:rsidRPr="000B7BD3">
              <w:t xml:space="preserve">“Salute to Vietnamese Freedom Fighters and Message to Our Brothers in Arms,” </w:t>
            </w:r>
            <w:proofErr w:type="spellStart"/>
            <w:r w:rsidRPr="000B7BD3">
              <w:rPr>
                <w:i/>
              </w:rPr>
              <w:t>Soulbook</w:t>
            </w:r>
            <w:proofErr w:type="spellEnd"/>
            <w:r w:rsidRPr="000B7BD3">
              <w:rPr>
                <w:i/>
              </w:rPr>
              <w:t xml:space="preserve"> Magazine</w:t>
            </w:r>
            <w:r w:rsidRPr="000B7BD3">
              <w:t>, 1967</w:t>
            </w:r>
            <w:proofErr w:type="gramStart"/>
            <w:r w:rsidRPr="000B7BD3">
              <w:t>.*</w:t>
            </w:r>
            <w:proofErr w:type="gramEnd"/>
            <w:r w:rsidRPr="000B7BD3">
              <w:t>*</w:t>
            </w:r>
          </w:p>
          <w:p w14:paraId="1C8F6AB4" w14:textId="77777777" w:rsidR="00F868E7" w:rsidRPr="000B7BD3" w:rsidRDefault="00F868E7" w:rsidP="00F868E7">
            <w:pPr>
              <w:pStyle w:val="ListParagraph"/>
              <w:numPr>
                <w:ilvl w:val="0"/>
                <w:numId w:val="7"/>
              </w:numPr>
            </w:pPr>
            <w:r w:rsidRPr="000B7BD3">
              <w:t>Huey P. Newton, “To the National Liberation Front of South Vietnam” (1970)</w:t>
            </w:r>
          </w:p>
          <w:p w14:paraId="096A802B" w14:textId="44FD4425" w:rsidR="00EB06AB" w:rsidRPr="000B7BD3" w:rsidRDefault="00F868E7" w:rsidP="00F868E7">
            <w:pPr>
              <w:pStyle w:val="ListParagraph"/>
              <w:numPr>
                <w:ilvl w:val="0"/>
                <w:numId w:val="7"/>
              </w:numPr>
            </w:pPr>
            <w:r w:rsidRPr="000B7BD3">
              <w:t xml:space="preserve">Chicano Draft Help, “La </w:t>
            </w:r>
            <w:proofErr w:type="spellStart"/>
            <w:r w:rsidRPr="000B7BD3">
              <w:t>Batalla</w:t>
            </w:r>
            <w:proofErr w:type="spellEnd"/>
            <w:r w:rsidRPr="000B7BD3">
              <w:t xml:space="preserve"> </w:t>
            </w:r>
            <w:proofErr w:type="spellStart"/>
            <w:r w:rsidRPr="000B7BD3">
              <w:t>Esta</w:t>
            </w:r>
            <w:proofErr w:type="spellEnd"/>
            <w:r w:rsidRPr="000B7BD3">
              <w:t xml:space="preserve"> </w:t>
            </w:r>
            <w:proofErr w:type="spellStart"/>
            <w:r w:rsidRPr="000B7BD3">
              <w:t>Aqui</w:t>
            </w:r>
            <w:proofErr w:type="spellEnd"/>
            <w:r w:rsidRPr="000B7BD3">
              <w:t>” (1972)</w:t>
            </w:r>
            <w:r w:rsidR="00EB06AB" w:rsidRPr="000B7BD3">
              <w:br/>
            </w:r>
          </w:p>
        </w:tc>
        <w:tc>
          <w:tcPr>
            <w:tcW w:w="1278" w:type="dxa"/>
          </w:tcPr>
          <w:p w14:paraId="55C3A672" w14:textId="10EB4B8B" w:rsidR="00EB06AB" w:rsidRPr="000B7BD3" w:rsidRDefault="00EB06AB" w:rsidP="00B61E22">
            <w:r w:rsidRPr="000B7BD3">
              <w:t>R8</w:t>
            </w:r>
          </w:p>
        </w:tc>
      </w:tr>
      <w:tr w:rsidR="00A57437" w:rsidRPr="000B7BD3" w14:paraId="6DE9B588" w14:textId="77777777" w:rsidTr="0060144A">
        <w:tc>
          <w:tcPr>
            <w:tcW w:w="828" w:type="dxa"/>
          </w:tcPr>
          <w:p w14:paraId="23064A22" w14:textId="39E62096" w:rsidR="00A57437" w:rsidRPr="000B7BD3" w:rsidRDefault="00A57437">
            <w:r w:rsidRPr="000B7BD3">
              <w:t>F</w:t>
            </w:r>
          </w:p>
        </w:tc>
        <w:tc>
          <w:tcPr>
            <w:tcW w:w="900" w:type="dxa"/>
          </w:tcPr>
          <w:p w14:paraId="4356C14F" w14:textId="4C7CEFD6" w:rsidR="00A57437" w:rsidRPr="000B7BD3" w:rsidRDefault="00A57437">
            <w:r w:rsidRPr="000B7BD3">
              <w:t>10/28</w:t>
            </w:r>
          </w:p>
        </w:tc>
        <w:tc>
          <w:tcPr>
            <w:tcW w:w="6030" w:type="dxa"/>
          </w:tcPr>
          <w:p w14:paraId="7242CE0F" w14:textId="0BAC9D2C" w:rsidR="00A57437" w:rsidRPr="000B7BD3" w:rsidRDefault="00A57437" w:rsidP="00F868E7">
            <w:pPr>
              <w:rPr>
                <w:b/>
              </w:rPr>
            </w:pPr>
            <w:r w:rsidRPr="000B7BD3">
              <w:rPr>
                <w:b/>
              </w:rPr>
              <w:t xml:space="preserve">One-Page </w:t>
            </w:r>
            <w:proofErr w:type="spellStart"/>
            <w:r w:rsidRPr="000B7BD3">
              <w:rPr>
                <w:b/>
              </w:rPr>
              <w:t>Precis</w:t>
            </w:r>
            <w:proofErr w:type="spellEnd"/>
            <w:r w:rsidRPr="000B7BD3">
              <w:rPr>
                <w:b/>
              </w:rPr>
              <w:t xml:space="preserve"> of Your Final Paper with Five Scholarly Sources Due by 5:00 PM</w:t>
            </w:r>
            <w:r w:rsidRPr="000B7BD3">
              <w:rPr>
                <w:b/>
              </w:rPr>
              <w:br/>
            </w:r>
          </w:p>
        </w:tc>
        <w:tc>
          <w:tcPr>
            <w:tcW w:w="1278" w:type="dxa"/>
          </w:tcPr>
          <w:p w14:paraId="07E817E7" w14:textId="77777777" w:rsidR="00A57437" w:rsidRPr="000B7BD3" w:rsidRDefault="00A57437" w:rsidP="00B61E22"/>
        </w:tc>
      </w:tr>
      <w:tr w:rsidR="00EB06AB" w:rsidRPr="000B7BD3" w14:paraId="0A04E56C" w14:textId="77777777" w:rsidTr="0060144A">
        <w:tc>
          <w:tcPr>
            <w:tcW w:w="828" w:type="dxa"/>
          </w:tcPr>
          <w:p w14:paraId="6E9FEF5A" w14:textId="0A846916" w:rsidR="00EB06AB" w:rsidRPr="000B7BD3" w:rsidRDefault="00D00071">
            <w:r w:rsidRPr="000B7BD3">
              <w:t>T</w:t>
            </w:r>
          </w:p>
        </w:tc>
        <w:tc>
          <w:tcPr>
            <w:tcW w:w="900" w:type="dxa"/>
          </w:tcPr>
          <w:p w14:paraId="629E1D9E" w14:textId="411F19F4" w:rsidR="00EB06AB" w:rsidRPr="000B7BD3" w:rsidRDefault="0060144A">
            <w:r w:rsidRPr="000B7BD3">
              <w:t>11/1</w:t>
            </w:r>
          </w:p>
        </w:tc>
        <w:tc>
          <w:tcPr>
            <w:tcW w:w="6030" w:type="dxa"/>
          </w:tcPr>
          <w:p w14:paraId="7EA5BED1" w14:textId="77777777" w:rsidR="00F868E7" w:rsidRPr="000B7BD3" w:rsidRDefault="00F868E7" w:rsidP="00F868E7">
            <w:pPr>
              <w:rPr>
                <w:b/>
              </w:rPr>
            </w:pPr>
            <w:r w:rsidRPr="000B7BD3">
              <w:rPr>
                <w:b/>
              </w:rPr>
              <w:t>The All-Volunteer Force:</w:t>
            </w:r>
          </w:p>
          <w:p w14:paraId="30DE7B3B" w14:textId="37965A87" w:rsidR="000D3CB8" w:rsidRPr="000B7BD3" w:rsidRDefault="00F868E7" w:rsidP="00F868E7">
            <w:pPr>
              <w:pStyle w:val="ListParagraph"/>
              <w:numPr>
                <w:ilvl w:val="0"/>
                <w:numId w:val="32"/>
              </w:numPr>
            </w:pPr>
            <w:r w:rsidRPr="000B7BD3">
              <w:t xml:space="preserve">Bailey, </w:t>
            </w:r>
            <w:r w:rsidRPr="000B7BD3">
              <w:rPr>
                <w:i/>
              </w:rPr>
              <w:t>America’s Army</w:t>
            </w:r>
            <w:r w:rsidRPr="000B7BD3">
              <w:t>, preface and Ch. 1-3</w:t>
            </w:r>
            <w:r w:rsidR="000D3CB8" w:rsidRPr="000B7BD3">
              <w:br/>
            </w:r>
          </w:p>
        </w:tc>
        <w:tc>
          <w:tcPr>
            <w:tcW w:w="1278" w:type="dxa"/>
          </w:tcPr>
          <w:p w14:paraId="622A40CD" w14:textId="2C587006" w:rsidR="00EB06AB" w:rsidRPr="000B7BD3" w:rsidRDefault="00EB06AB" w:rsidP="00B61E22">
            <w:r w:rsidRPr="000B7BD3">
              <w:t>T6</w:t>
            </w:r>
          </w:p>
        </w:tc>
      </w:tr>
      <w:tr w:rsidR="00EB06AB" w:rsidRPr="000B7BD3" w14:paraId="0E820E36" w14:textId="77777777" w:rsidTr="0060144A">
        <w:tc>
          <w:tcPr>
            <w:tcW w:w="828" w:type="dxa"/>
          </w:tcPr>
          <w:p w14:paraId="1F1440B8" w14:textId="14C01868" w:rsidR="00EB06AB" w:rsidRPr="000B7BD3" w:rsidRDefault="00D00071">
            <w:r w:rsidRPr="000B7BD3">
              <w:t>R</w:t>
            </w:r>
          </w:p>
        </w:tc>
        <w:tc>
          <w:tcPr>
            <w:tcW w:w="900" w:type="dxa"/>
          </w:tcPr>
          <w:p w14:paraId="78E217C1" w14:textId="11B0F7AC" w:rsidR="00EB06AB" w:rsidRPr="000B7BD3" w:rsidRDefault="0060144A">
            <w:r w:rsidRPr="000B7BD3">
              <w:t>11/3</w:t>
            </w:r>
          </w:p>
        </w:tc>
        <w:tc>
          <w:tcPr>
            <w:tcW w:w="6030" w:type="dxa"/>
          </w:tcPr>
          <w:p w14:paraId="7C134C59" w14:textId="77777777" w:rsidR="00F868E7" w:rsidRPr="000B7BD3" w:rsidRDefault="00F868E7" w:rsidP="00F868E7">
            <w:pPr>
              <w:rPr>
                <w:b/>
              </w:rPr>
            </w:pPr>
            <w:r w:rsidRPr="000B7BD3">
              <w:rPr>
                <w:b/>
              </w:rPr>
              <w:t>The Military as the Welfare State</w:t>
            </w:r>
          </w:p>
          <w:p w14:paraId="2D87BADF" w14:textId="79773376" w:rsidR="00EB06AB" w:rsidRPr="000B7BD3" w:rsidRDefault="00F868E7" w:rsidP="00F868E7">
            <w:pPr>
              <w:pStyle w:val="ListParagraph"/>
              <w:numPr>
                <w:ilvl w:val="0"/>
                <w:numId w:val="32"/>
              </w:numPr>
            </w:pPr>
            <w:r w:rsidRPr="000B7BD3">
              <w:t xml:space="preserve">Jennifer </w:t>
            </w:r>
            <w:proofErr w:type="spellStart"/>
            <w:r w:rsidRPr="000B7BD3">
              <w:t>Mittelstadt</w:t>
            </w:r>
            <w:proofErr w:type="spellEnd"/>
            <w:r w:rsidRPr="000B7BD3">
              <w:t xml:space="preserve">, from </w:t>
            </w:r>
            <w:r w:rsidRPr="000B7BD3">
              <w:rPr>
                <w:i/>
              </w:rPr>
              <w:t>The Rise of the Military Welfare State</w:t>
            </w:r>
            <w:r w:rsidRPr="000B7BD3">
              <w:t>**</w:t>
            </w:r>
            <w:r w:rsidR="00EB06AB" w:rsidRPr="000B7BD3">
              <w:br/>
            </w:r>
          </w:p>
        </w:tc>
        <w:tc>
          <w:tcPr>
            <w:tcW w:w="1278" w:type="dxa"/>
          </w:tcPr>
          <w:p w14:paraId="4B18B91B" w14:textId="6824B1FC" w:rsidR="00EB06AB" w:rsidRPr="000B7BD3" w:rsidRDefault="00EB06AB" w:rsidP="00B61E22">
            <w:r w:rsidRPr="000B7BD3">
              <w:t>R9</w:t>
            </w:r>
          </w:p>
        </w:tc>
      </w:tr>
      <w:tr w:rsidR="00EB06AB" w:rsidRPr="000B7BD3" w14:paraId="27E52638" w14:textId="77777777" w:rsidTr="0060144A">
        <w:tc>
          <w:tcPr>
            <w:tcW w:w="828" w:type="dxa"/>
          </w:tcPr>
          <w:p w14:paraId="105B45E6" w14:textId="28751617" w:rsidR="00EB06AB" w:rsidRPr="000B7BD3" w:rsidRDefault="00D00071">
            <w:r w:rsidRPr="000B7BD3">
              <w:t>T</w:t>
            </w:r>
          </w:p>
        </w:tc>
        <w:tc>
          <w:tcPr>
            <w:tcW w:w="900" w:type="dxa"/>
          </w:tcPr>
          <w:p w14:paraId="2E67F972" w14:textId="04992E93" w:rsidR="00EB06AB" w:rsidRPr="000B7BD3" w:rsidRDefault="0060144A">
            <w:r w:rsidRPr="000B7BD3">
              <w:t>11/8</w:t>
            </w:r>
          </w:p>
        </w:tc>
        <w:tc>
          <w:tcPr>
            <w:tcW w:w="6030" w:type="dxa"/>
          </w:tcPr>
          <w:p w14:paraId="260BBD3A" w14:textId="77777777" w:rsidR="00F868E7" w:rsidRPr="000B7BD3" w:rsidRDefault="00F868E7" w:rsidP="00F868E7">
            <w:pPr>
              <w:rPr>
                <w:b/>
              </w:rPr>
            </w:pPr>
            <w:r w:rsidRPr="000B7BD3">
              <w:rPr>
                <w:b/>
              </w:rPr>
              <w:t>Race and Gender in the Post-Vietnam Military</w:t>
            </w:r>
          </w:p>
          <w:p w14:paraId="5EDF6F2E" w14:textId="2B67193D" w:rsidR="00EB06AB" w:rsidRPr="000B7BD3" w:rsidRDefault="00F868E7" w:rsidP="00F868E7">
            <w:pPr>
              <w:pStyle w:val="ListParagraph"/>
              <w:numPr>
                <w:ilvl w:val="0"/>
                <w:numId w:val="25"/>
              </w:numPr>
              <w:ind w:left="702"/>
            </w:pPr>
            <w:r w:rsidRPr="000B7BD3">
              <w:t xml:space="preserve">Bailey, </w:t>
            </w:r>
            <w:r w:rsidRPr="000B7BD3">
              <w:rPr>
                <w:i/>
              </w:rPr>
              <w:t>America’s Army</w:t>
            </w:r>
            <w:r w:rsidRPr="000B7BD3">
              <w:t>, 4-6</w:t>
            </w:r>
            <w:r w:rsidR="00BA62C9" w:rsidRPr="000B7BD3">
              <w:br/>
            </w:r>
          </w:p>
        </w:tc>
        <w:tc>
          <w:tcPr>
            <w:tcW w:w="1278" w:type="dxa"/>
          </w:tcPr>
          <w:p w14:paraId="3CB932F8" w14:textId="21E38D13" w:rsidR="00EB06AB" w:rsidRPr="000B7BD3" w:rsidRDefault="00EB06AB" w:rsidP="00B61E22">
            <w:r w:rsidRPr="000B7BD3">
              <w:t>T7</w:t>
            </w:r>
          </w:p>
        </w:tc>
      </w:tr>
      <w:tr w:rsidR="00EB06AB" w:rsidRPr="000B7BD3" w14:paraId="6092F3C6" w14:textId="77777777" w:rsidTr="0060144A">
        <w:tc>
          <w:tcPr>
            <w:tcW w:w="828" w:type="dxa"/>
          </w:tcPr>
          <w:p w14:paraId="32BF12F7" w14:textId="2EDD2EB2" w:rsidR="00EB06AB" w:rsidRPr="000B7BD3" w:rsidRDefault="00D00071">
            <w:r w:rsidRPr="000B7BD3">
              <w:t>R</w:t>
            </w:r>
          </w:p>
        </w:tc>
        <w:tc>
          <w:tcPr>
            <w:tcW w:w="900" w:type="dxa"/>
          </w:tcPr>
          <w:p w14:paraId="1CF7E8D2" w14:textId="21E2CD96" w:rsidR="00EB06AB" w:rsidRPr="000B7BD3" w:rsidRDefault="0060144A">
            <w:r w:rsidRPr="000B7BD3">
              <w:t>11/10</w:t>
            </w:r>
          </w:p>
        </w:tc>
        <w:tc>
          <w:tcPr>
            <w:tcW w:w="6030" w:type="dxa"/>
          </w:tcPr>
          <w:p w14:paraId="11582E0E" w14:textId="77777777" w:rsidR="00F868E7" w:rsidRPr="000B7BD3" w:rsidRDefault="00F868E7" w:rsidP="00F868E7">
            <w:pPr>
              <w:rPr>
                <w:b/>
                <w:i/>
              </w:rPr>
            </w:pPr>
            <w:r w:rsidRPr="000B7BD3">
              <w:rPr>
                <w:b/>
              </w:rPr>
              <w:t>Ronald Reagan and the Remilitarization of America</w:t>
            </w:r>
          </w:p>
          <w:p w14:paraId="7EEB8C26" w14:textId="77777777" w:rsidR="00F868E7" w:rsidRPr="000B7BD3" w:rsidRDefault="00F868E7" w:rsidP="00F868E7">
            <w:pPr>
              <w:pStyle w:val="ListParagraph"/>
              <w:numPr>
                <w:ilvl w:val="0"/>
                <w:numId w:val="25"/>
              </w:numPr>
              <w:tabs>
                <w:tab w:val="left" w:pos="342"/>
              </w:tabs>
              <w:ind w:left="702"/>
            </w:pPr>
            <w:r w:rsidRPr="000B7BD3">
              <w:t xml:space="preserve">Andrew </w:t>
            </w:r>
            <w:proofErr w:type="spellStart"/>
            <w:r w:rsidRPr="000B7BD3">
              <w:t>Bacecvich</w:t>
            </w:r>
            <w:proofErr w:type="spellEnd"/>
            <w:r w:rsidRPr="000B7BD3">
              <w:t xml:space="preserve">, “California Dreaming,” from </w:t>
            </w:r>
            <w:r w:rsidRPr="000B7BD3">
              <w:rPr>
                <w:i/>
              </w:rPr>
              <w:t>The New American Militarism: How Americans Are Seduced By War</w:t>
            </w:r>
            <w:r w:rsidRPr="000B7BD3">
              <w:t>**</w:t>
            </w:r>
          </w:p>
          <w:p w14:paraId="65D29462" w14:textId="2D6C8F6F" w:rsidR="00EB06AB" w:rsidRPr="000B7BD3" w:rsidRDefault="00F868E7" w:rsidP="00F868E7">
            <w:pPr>
              <w:pStyle w:val="ListParagraph"/>
              <w:numPr>
                <w:ilvl w:val="0"/>
                <w:numId w:val="25"/>
              </w:numPr>
              <w:tabs>
                <w:tab w:val="left" w:pos="342"/>
              </w:tabs>
              <w:ind w:left="702"/>
            </w:pPr>
            <w:r w:rsidRPr="000B7BD3">
              <w:t xml:space="preserve">Watch: </w:t>
            </w:r>
            <w:r w:rsidRPr="000B7BD3">
              <w:rPr>
                <w:i/>
              </w:rPr>
              <w:t>Top Gun</w:t>
            </w:r>
            <w:r w:rsidRPr="000B7BD3">
              <w:t xml:space="preserve"> (1986)</w:t>
            </w:r>
            <w:r w:rsidR="00BA62C9" w:rsidRPr="000B7BD3">
              <w:br/>
            </w:r>
          </w:p>
        </w:tc>
        <w:tc>
          <w:tcPr>
            <w:tcW w:w="1278" w:type="dxa"/>
          </w:tcPr>
          <w:p w14:paraId="5A9350E3" w14:textId="6EC50602" w:rsidR="00EB06AB" w:rsidRPr="000B7BD3" w:rsidRDefault="00EB06AB" w:rsidP="00B61E22">
            <w:r w:rsidRPr="000B7BD3">
              <w:t>R10</w:t>
            </w:r>
          </w:p>
        </w:tc>
      </w:tr>
      <w:tr w:rsidR="00EB06AB" w:rsidRPr="000B7BD3" w14:paraId="1A48BB9A" w14:textId="77777777" w:rsidTr="0060144A">
        <w:tc>
          <w:tcPr>
            <w:tcW w:w="828" w:type="dxa"/>
          </w:tcPr>
          <w:p w14:paraId="35D96631" w14:textId="7655414C" w:rsidR="00EB06AB" w:rsidRPr="000B7BD3" w:rsidRDefault="00D00071">
            <w:r w:rsidRPr="000B7BD3">
              <w:t>T</w:t>
            </w:r>
          </w:p>
        </w:tc>
        <w:tc>
          <w:tcPr>
            <w:tcW w:w="900" w:type="dxa"/>
          </w:tcPr>
          <w:p w14:paraId="009ECE92" w14:textId="335D585D" w:rsidR="00EB06AB" w:rsidRPr="000B7BD3" w:rsidRDefault="0060144A">
            <w:r w:rsidRPr="000B7BD3">
              <w:t>11/15</w:t>
            </w:r>
          </w:p>
        </w:tc>
        <w:tc>
          <w:tcPr>
            <w:tcW w:w="6030" w:type="dxa"/>
          </w:tcPr>
          <w:p w14:paraId="32134C4B" w14:textId="77777777" w:rsidR="00F868E7" w:rsidRPr="000B7BD3" w:rsidRDefault="00F868E7" w:rsidP="00F868E7">
            <w:pPr>
              <w:rPr>
                <w:b/>
              </w:rPr>
            </w:pPr>
            <w:r w:rsidRPr="000B7BD3">
              <w:rPr>
                <w:b/>
              </w:rPr>
              <w:t>Gender and Sexuality in the Post-Cold War Military:</w:t>
            </w:r>
          </w:p>
          <w:p w14:paraId="0645B1EE" w14:textId="2962A6B9" w:rsidR="00EB06AB" w:rsidRPr="000B7BD3" w:rsidRDefault="00F868E7" w:rsidP="00F868E7">
            <w:pPr>
              <w:pStyle w:val="ListParagraph"/>
              <w:numPr>
                <w:ilvl w:val="0"/>
                <w:numId w:val="7"/>
              </w:numPr>
            </w:pPr>
            <w:r w:rsidRPr="000B7BD3">
              <w:t xml:space="preserve">Beth Bailey, “The Politics of Dancing: ‘Don’t Ask, Don’t Tell,’ and the Role of Moral Claims,” </w:t>
            </w:r>
            <w:r w:rsidRPr="000B7BD3">
              <w:rPr>
                <w:i/>
              </w:rPr>
              <w:t>Journal of Policy History</w:t>
            </w:r>
            <w:r w:rsidRPr="000B7BD3">
              <w:t xml:space="preserve"> 25:1 (2013), 89-113</w:t>
            </w:r>
            <w:proofErr w:type="gramStart"/>
            <w:r w:rsidRPr="000B7BD3">
              <w:t>.*</w:t>
            </w:r>
            <w:proofErr w:type="gramEnd"/>
            <w:r w:rsidRPr="000B7BD3">
              <w:t>*</w:t>
            </w:r>
            <w:r w:rsidR="00EB06AB" w:rsidRPr="000B7BD3">
              <w:br/>
            </w:r>
          </w:p>
        </w:tc>
        <w:tc>
          <w:tcPr>
            <w:tcW w:w="1278" w:type="dxa"/>
          </w:tcPr>
          <w:p w14:paraId="3AC7B3C7" w14:textId="0D62BF5E" w:rsidR="00EB06AB" w:rsidRPr="000B7BD3" w:rsidRDefault="00EB06AB" w:rsidP="00B61E22">
            <w:r w:rsidRPr="000B7BD3">
              <w:t>T8</w:t>
            </w:r>
          </w:p>
        </w:tc>
      </w:tr>
      <w:tr w:rsidR="00EB06AB" w:rsidRPr="000B7BD3" w14:paraId="4B031FB1" w14:textId="77777777" w:rsidTr="0060144A">
        <w:tc>
          <w:tcPr>
            <w:tcW w:w="828" w:type="dxa"/>
          </w:tcPr>
          <w:p w14:paraId="508441FC" w14:textId="3FB6EA42" w:rsidR="00EB06AB" w:rsidRPr="000B7BD3" w:rsidRDefault="00D00071">
            <w:r w:rsidRPr="000B7BD3">
              <w:t>R</w:t>
            </w:r>
          </w:p>
        </w:tc>
        <w:tc>
          <w:tcPr>
            <w:tcW w:w="900" w:type="dxa"/>
          </w:tcPr>
          <w:p w14:paraId="7351C268" w14:textId="53B2EBE6" w:rsidR="00EB06AB" w:rsidRPr="000B7BD3" w:rsidRDefault="0060144A">
            <w:r w:rsidRPr="000B7BD3">
              <w:t>11/17</w:t>
            </w:r>
          </w:p>
        </w:tc>
        <w:tc>
          <w:tcPr>
            <w:tcW w:w="6030" w:type="dxa"/>
          </w:tcPr>
          <w:p w14:paraId="13C5F02E" w14:textId="77777777" w:rsidR="00F868E7" w:rsidRPr="000B7BD3" w:rsidRDefault="00F868E7" w:rsidP="00F868E7">
            <w:pPr>
              <w:rPr>
                <w:b/>
              </w:rPr>
            </w:pPr>
            <w:r w:rsidRPr="000B7BD3">
              <w:rPr>
                <w:b/>
              </w:rPr>
              <w:t>Military Citizenship After the Cold War:</w:t>
            </w:r>
          </w:p>
          <w:p w14:paraId="2B9BC857" w14:textId="77777777" w:rsidR="00F868E7" w:rsidRPr="000B7BD3" w:rsidRDefault="00F868E7" w:rsidP="00F868E7">
            <w:pPr>
              <w:pStyle w:val="ListParagraph"/>
              <w:numPr>
                <w:ilvl w:val="0"/>
                <w:numId w:val="7"/>
              </w:numPr>
            </w:pPr>
            <w:r w:rsidRPr="000B7BD3">
              <w:t xml:space="preserve">Bailey, </w:t>
            </w:r>
            <w:r w:rsidRPr="000B7BD3">
              <w:rPr>
                <w:i/>
              </w:rPr>
              <w:t>America’s Army</w:t>
            </w:r>
            <w:r w:rsidRPr="000B7BD3">
              <w:t>, Ch. 7</w:t>
            </w:r>
          </w:p>
          <w:p w14:paraId="5740B253" w14:textId="12616ADB" w:rsidR="00EB06AB" w:rsidRPr="000B7BD3" w:rsidRDefault="00F868E7" w:rsidP="00F868E7">
            <w:pPr>
              <w:pStyle w:val="ListParagraph"/>
              <w:numPr>
                <w:ilvl w:val="0"/>
                <w:numId w:val="7"/>
              </w:numPr>
            </w:pPr>
            <w:r w:rsidRPr="000B7BD3">
              <w:t xml:space="preserve">Perez, </w:t>
            </w:r>
            <w:r w:rsidRPr="000B7BD3">
              <w:rPr>
                <w:i/>
              </w:rPr>
              <w:t>Citizen, Student, Soldier</w:t>
            </w:r>
            <w:r w:rsidRPr="000B7BD3">
              <w:t>, Intro, Ch.1</w:t>
            </w:r>
            <w:r w:rsidR="00BA62C9" w:rsidRPr="000B7BD3">
              <w:br/>
            </w:r>
          </w:p>
        </w:tc>
        <w:tc>
          <w:tcPr>
            <w:tcW w:w="1278" w:type="dxa"/>
          </w:tcPr>
          <w:p w14:paraId="68060BE4" w14:textId="4B9E858F" w:rsidR="00EB06AB" w:rsidRPr="000B7BD3" w:rsidRDefault="00EB06AB" w:rsidP="00B61E22">
            <w:r w:rsidRPr="000B7BD3">
              <w:t>R11</w:t>
            </w:r>
          </w:p>
        </w:tc>
      </w:tr>
      <w:tr w:rsidR="00150D8D" w:rsidRPr="000B7BD3" w14:paraId="719B31BB" w14:textId="77777777" w:rsidTr="0060144A">
        <w:tc>
          <w:tcPr>
            <w:tcW w:w="828" w:type="dxa"/>
          </w:tcPr>
          <w:p w14:paraId="50A7A4D6" w14:textId="031F179D" w:rsidR="00150D8D" w:rsidRPr="000B7BD3" w:rsidRDefault="00150D8D">
            <w:r w:rsidRPr="000B7BD3">
              <w:t>M</w:t>
            </w:r>
          </w:p>
        </w:tc>
        <w:tc>
          <w:tcPr>
            <w:tcW w:w="900" w:type="dxa"/>
          </w:tcPr>
          <w:p w14:paraId="4A6B8593" w14:textId="03D993BE" w:rsidR="00150D8D" w:rsidRPr="000B7BD3" w:rsidRDefault="00150D8D" w:rsidP="00150D8D">
            <w:r w:rsidRPr="000B7BD3">
              <w:t>11/21</w:t>
            </w:r>
          </w:p>
        </w:tc>
        <w:tc>
          <w:tcPr>
            <w:tcW w:w="6030" w:type="dxa"/>
          </w:tcPr>
          <w:p w14:paraId="19F03E75" w14:textId="6A4043F0" w:rsidR="00150D8D" w:rsidRPr="000B7BD3" w:rsidRDefault="00150D8D" w:rsidP="00F868E7">
            <w:pPr>
              <w:rPr>
                <w:b/>
              </w:rPr>
            </w:pPr>
            <w:r w:rsidRPr="000B7BD3">
              <w:rPr>
                <w:b/>
              </w:rPr>
              <w:t xml:space="preserve">Revised </w:t>
            </w:r>
            <w:proofErr w:type="spellStart"/>
            <w:r w:rsidRPr="000B7BD3">
              <w:rPr>
                <w:b/>
              </w:rPr>
              <w:t>Precis</w:t>
            </w:r>
            <w:proofErr w:type="spellEnd"/>
            <w:r w:rsidRPr="000B7BD3">
              <w:rPr>
                <w:b/>
              </w:rPr>
              <w:t xml:space="preserve"> and Annotated Bibliography of 7-10 Scholarly Sources for Paper Due by 12:00PM</w:t>
            </w:r>
            <w:r w:rsidRPr="000B7BD3">
              <w:rPr>
                <w:b/>
              </w:rPr>
              <w:br/>
            </w:r>
          </w:p>
        </w:tc>
        <w:tc>
          <w:tcPr>
            <w:tcW w:w="1278" w:type="dxa"/>
          </w:tcPr>
          <w:p w14:paraId="3098D11E" w14:textId="77777777" w:rsidR="00150D8D" w:rsidRPr="000B7BD3" w:rsidRDefault="00150D8D" w:rsidP="00B61E22"/>
        </w:tc>
      </w:tr>
      <w:tr w:rsidR="00EB06AB" w:rsidRPr="000B7BD3" w14:paraId="0973F90E" w14:textId="77777777" w:rsidTr="0060144A">
        <w:tc>
          <w:tcPr>
            <w:tcW w:w="828" w:type="dxa"/>
          </w:tcPr>
          <w:p w14:paraId="43E95D65" w14:textId="6745C44F" w:rsidR="00EB06AB" w:rsidRPr="000B7BD3" w:rsidRDefault="00D00071">
            <w:r w:rsidRPr="000B7BD3">
              <w:t>T</w:t>
            </w:r>
          </w:p>
        </w:tc>
        <w:tc>
          <w:tcPr>
            <w:tcW w:w="900" w:type="dxa"/>
          </w:tcPr>
          <w:p w14:paraId="3477AD53" w14:textId="288D7EDC" w:rsidR="00EB06AB" w:rsidRPr="000B7BD3" w:rsidRDefault="0060144A">
            <w:r w:rsidRPr="000B7BD3">
              <w:t>11/22</w:t>
            </w:r>
          </w:p>
        </w:tc>
        <w:tc>
          <w:tcPr>
            <w:tcW w:w="6030" w:type="dxa"/>
          </w:tcPr>
          <w:p w14:paraId="24E8ED6C" w14:textId="77777777" w:rsidR="00F868E7" w:rsidRPr="000B7BD3" w:rsidRDefault="00F868E7" w:rsidP="00F868E7">
            <w:pPr>
              <w:rPr>
                <w:b/>
              </w:rPr>
            </w:pPr>
            <w:r w:rsidRPr="000B7BD3">
              <w:rPr>
                <w:b/>
              </w:rPr>
              <w:t>Military Citizenship After the Cold War:</w:t>
            </w:r>
          </w:p>
          <w:p w14:paraId="39331381" w14:textId="16E91A49" w:rsidR="00EB06AB" w:rsidRPr="000B7BD3" w:rsidRDefault="00F868E7" w:rsidP="00F868E7">
            <w:pPr>
              <w:pStyle w:val="ListParagraph"/>
              <w:numPr>
                <w:ilvl w:val="0"/>
                <w:numId w:val="12"/>
              </w:numPr>
            </w:pPr>
            <w:r w:rsidRPr="000B7BD3">
              <w:t xml:space="preserve">Perez, </w:t>
            </w:r>
            <w:r w:rsidRPr="000B7BD3">
              <w:rPr>
                <w:i/>
              </w:rPr>
              <w:t>Citizen, Student, Soldier</w:t>
            </w:r>
            <w:r w:rsidRPr="000B7BD3">
              <w:t>, Ch.2-4, conclusion</w:t>
            </w:r>
            <w:r w:rsidR="002821F5" w:rsidRPr="000B7BD3">
              <w:br/>
            </w:r>
          </w:p>
        </w:tc>
        <w:tc>
          <w:tcPr>
            <w:tcW w:w="1278" w:type="dxa"/>
          </w:tcPr>
          <w:p w14:paraId="778020B7" w14:textId="5B854229" w:rsidR="00EB06AB" w:rsidRPr="000B7BD3" w:rsidRDefault="00EB06AB" w:rsidP="00B61E22">
            <w:r w:rsidRPr="000B7BD3">
              <w:t>T9</w:t>
            </w:r>
          </w:p>
        </w:tc>
      </w:tr>
      <w:tr w:rsidR="0060144A" w:rsidRPr="000B7BD3" w14:paraId="740E570A" w14:textId="77777777" w:rsidTr="0060144A">
        <w:tc>
          <w:tcPr>
            <w:tcW w:w="828" w:type="dxa"/>
          </w:tcPr>
          <w:p w14:paraId="0CC0FEE8" w14:textId="7A88FED6" w:rsidR="0060144A" w:rsidRPr="000B7BD3" w:rsidRDefault="00D00071">
            <w:r w:rsidRPr="000B7BD3">
              <w:t>R</w:t>
            </w:r>
          </w:p>
        </w:tc>
        <w:tc>
          <w:tcPr>
            <w:tcW w:w="900" w:type="dxa"/>
          </w:tcPr>
          <w:p w14:paraId="62FFB464" w14:textId="652E1EF4" w:rsidR="0060144A" w:rsidRPr="000B7BD3" w:rsidRDefault="0060144A">
            <w:r w:rsidRPr="000B7BD3">
              <w:t>11/24</w:t>
            </w:r>
          </w:p>
        </w:tc>
        <w:tc>
          <w:tcPr>
            <w:tcW w:w="6030" w:type="dxa"/>
          </w:tcPr>
          <w:p w14:paraId="35A81CA0" w14:textId="77777777" w:rsidR="0060144A" w:rsidRPr="000B7BD3" w:rsidRDefault="0060144A">
            <w:pPr>
              <w:rPr>
                <w:b/>
              </w:rPr>
            </w:pPr>
            <w:r w:rsidRPr="000B7BD3">
              <w:rPr>
                <w:b/>
              </w:rPr>
              <w:t>No Class: Thanksgiving Break!</w:t>
            </w:r>
          </w:p>
          <w:p w14:paraId="06B83D51" w14:textId="35666E74" w:rsidR="0060144A" w:rsidRPr="000B7BD3" w:rsidRDefault="0060144A">
            <w:pPr>
              <w:rPr>
                <w:b/>
              </w:rPr>
            </w:pPr>
          </w:p>
        </w:tc>
        <w:tc>
          <w:tcPr>
            <w:tcW w:w="1278" w:type="dxa"/>
          </w:tcPr>
          <w:p w14:paraId="65150FDC" w14:textId="77777777" w:rsidR="0060144A" w:rsidRPr="000B7BD3" w:rsidRDefault="0060144A" w:rsidP="00A21A95"/>
        </w:tc>
      </w:tr>
      <w:tr w:rsidR="00EB06AB" w:rsidRPr="000B7BD3" w14:paraId="2CD179AB" w14:textId="77777777" w:rsidTr="0060144A">
        <w:tc>
          <w:tcPr>
            <w:tcW w:w="828" w:type="dxa"/>
          </w:tcPr>
          <w:p w14:paraId="1B82797A" w14:textId="74A54669" w:rsidR="00EB06AB" w:rsidRPr="000B7BD3" w:rsidRDefault="00D00071">
            <w:r w:rsidRPr="000B7BD3">
              <w:t>T</w:t>
            </w:r>
          </w:p>
        </w:tc>
        <w:tc>
          <w:tcPr>
            <w:tcW w:w="900" w:type="dxa"/>
          </w:tcPr>
          <w:p w14:paraId="41264934" w14:textId="10AB371D" w:rsidR="00EB06AB" w:rsidRPr="000B7BD3" w:rsidRDefault="0060144A">
            <w:r w:rsidRPr="000B7BD3">
              <w:t>11/29</w:t>
            </w:r>
          </w:p>
        </w:tc>
        <w:tc>
          <w:tcPr>
            <w:tcW w:w="6030" w:type="dxa"/>
          </w:tcPr>
          <w:p w14:paraId="1E598A90" w14:textId="77777777" w:rsidR="00F868E7" w:rsidRPr="000B7BD3" w:rsidRDefault="00F868E7" w:rsidP="00F868E7">
            <w:pPr>
              <w:rPr>
                <w:b/>
              </w:rPr>
            </w:pPr>
            <w:r w:rsidRPr="000B7BD3">
              <w:rPr>
                <w:b/>
              </w:rPr>
              <w:t>Gender, Ethnicity and Citizenship in the Iraq War</w:t>
            </w:r>
          </w:p>
          <w:p w14:paraId="6C256EBB" w14:textId="77777777" w:rsidR="00F868E7" w:rsidRPr="000B7BD3" w:rsidRDefault="00F868E7" w:rsidP="00F868E7">
            <w:pPr>
              <w:pStyle w:val="ListParagraph"/>
              <w:numPr>
                <w:ilvl w:val="0"/>
                <w:numId w:val="12"/>
              </w:numPr>
            </w:pPr>
            <w:r w:rsidRPr="000B7BD3">
              <w:t>Irene Garza, “Advertising Patriotism: The “</w:t>
            </w:r>
            <w:proofErr w:type="spellStart"/>
            <w:r w:rsidRPr="000B7BD3">
              <w:t>Yo</w:t>
            </w:r>
            <w:proofErr w:type="spellEnd"/>
            <w:r w:rsidRPr="000B7BD3">
              <w:t xml:space="preserve"> Soy El Army” Campaign and the Politics of Visibility for Latina/o Youth,” </w:t>
            </w:r>
            <w:r w:rsidRPr="000B7BD3">
              <w:rPr>
                <w:i/>
              </w:rPr>
              <w:t>Latino Studies</w:t>
            </w:r>
            <w:r w:rsidRPr="000B7BD3">
              <w:t xml:space="preserve"> 13:2 (2015), 245-68</w:t>
            </w:r>
            <w:proofErr w:type="gramStart"/>
            <w:r w:rsidRPr="000B7BD3">
              <w:t>.*</w:t>
            </w:r>
            <w:proofErr w:type="gramEnd"/>
            <w:r w:rsidRPr="000B7BD3">
              <w:t>*</w:t>
            </w:r>
          </w:p>
          <w:p w14:paraId="193CF82C" w14:textId="7315F384" w:rsidR="00EB06AB" w:rsidRPr="000B7BD3" w:rsidRDefault="00F868E7" w:rsidP="00F868E7">
            <w:pPr>
              <w:pStyle w:val="ListParagraph"/>
              <w:numPr>
                <w:ilvl w:val="0"/>
                <w:numId w:val="12"/>
              </w:numPr>
            </w:pPr>
            <w:r w:rsidRPr="000B7BD3">
              <w:t xml:space="preserve">Watch: </w:t>
            </w:r>
            <w:r w:rsidRPr="000B7BD3">
              <w:rPr>
                <w:i/>
              </w:rPr>
              <w:t>All She Can</w:t>
            </w:r>
            <w:r w:rsidRPr="000B7BD3">
              <w:t xml:space="preserve"> (2011)</w:t>
            </w:r>
            <w:r w:rsidR="00EB06AB" w:rsidRPr="000B7BD3">
              <w:br/>
            </w:r>
          </w:p>
        </w:tc>
        <w:tc>
          <w:tcPr>
            <w:tcW w:w="1278" w:type="dxa"/>
          </w:tcPr>
          <w:p w14:paraId="530974C5" w14:textId="3416AB47" w:rsidR="00EB06AB" w:rsidRPr="000B7BD3" w:rsidRDefault="00EB06AB" w:rsidP="00A21A95">
            <w:r w:rsidRPr="000B7BD3">
              <w:t>R12</w:t>
            </w:r>
          </w:p>
        </w:tc>
      </w:tr>
      <w:tr w:rsidR="00EB06AB" w:rsidRPr="000B7BD3" w14:paraId="6ED81986" w14:textId="77777777" w:rsidTr="0060144A">
        <w:tc>
          <w:tcPr>
            <w:tcW w:w="828" w:type="dxa"/>
          </w:tcPr>
          <w:p w14:paraId="437D07E2" w14:textId="038B0EED" w:rsidR="00EB06AB" w:rsidRPr="000B7BD3" w:rsidRDefault="00D00071">
            <w:r w:rsidRPr="000B7BD3">
              <w:t>R</w:t>
            </w:r>
          </w:p>
        </w:tc>
        <w:tc>
          <w:tcPr>
            <w:tcW w:w="900" w:type="dxa"/>
          </w:tcPr>
          <w:p w14:paraId="7B354F43" w14:textId="2B1B90CA" w:rsidR="00EB06AB" w:rsidRPr="000B7BD3" w:rsidRDefault="0060144A">
            <w:r w:rsidRPr="000B7BD3">
              <w:t>12/1</w:t>
            </w:r>
          </w:p>
        </w:tc>
        <w:tc>
          <w:tcPr>
            <w:tcW w:w="6030" w:type="dxa"/>
          </w:tcPr>
          <w:p w14:paraId="2C31E704" w14:textId="77777777" w:rsidR="00D00071" w:rsidRPr="000B7BD3" w:rsidRDefault="00D00071" w:rsidP="00D00071">
            <w:pPr>
              <w:rPr>
                <w:b/>
              </w:rPr>
            </w:pPr>
            <w:r w:rsidRPr="000B7BD3">
              <w:rPr>
                <w:b/>
              </w:rPr>
              <w:t>Women in the Contemporary U.S. Military</w:t>
            </w:r>
          </w:p>
          <w:p w14:paraId="2E33F2BE" w14:textId="77777777" w:rsidR="00D00071" w:rsidRPr="000B7BD3" w:rsidRDefault="00D00071" w:rsidP="00D00071">
            <w:pPr>
              <w:pStyle w:val="ListParagraph"/>
              <w:numPr>
                <w:ilvl w:val="0"/>
                <w:numId w:val="31"/>
              </w:numPr>
            </w:pPr>
            <w:r w:rsidRPr="000B7BD3">
              <w:t xml:space="preserve">Elizabeth </w:t>
            </w:r>
            <w:proofErr w:type="spellStart"/>
            <w:r w:rsidRPr="000B7BD3">
              <w:t>Mesok</w:t>
            </w:r>
            <w:proofErr w:type="spellEnd"/>
            <w:r w:rsidRPr="000B7BD3">
              <w:t xml:space="preserve">, “Affective Technologies of War: US Female Counterinsurgents and the Performance of Gendered Labor,” </w:t>
            </w:r>
            <w:r w:rsidRPr="000B7BD3">
              <w:rPr>
                <w:i/>
              </w:rPr>
              <w:t>Radical History Review</w:t>
            </w:r>
            <w:r w:rsidRPr="000B7BD3">
              <w:t xml:space="preserve"> 123 (2015)</w:t>
            </w:r>
            <w:proofErr w:type="gramStart"/>
            <w:r w:rsidRPr="000B7BD3">
              <w:t>.*</w:t>
            </w:r>
            <w:proofErr w:type="gramEnd"/>
            <w:r w:rsidRPr="000B7BD3">
              <w:t>*</w:t>
            </w:r>
          </w:p>
          <w:p w14:paraId="0694F082" w14:textId="5CC9A261" w:rsidR="00EB06AB" w:rsidRPr="000B7BD3" w:rsidRDefault="00D00071" w:rsidP="00D00071">
            <w:pPr>
              <w:pStyle w:val="ListParagraph"/>
              <w:numPr>
                <w:ilvl w:val="0"/>
                <w:numId w:val="31"/>
              </w:numPr>
            </w:pPr>
            <w:r w:rsidRPr="000B7BD3">
              <w:t xml:space="preserve">Watch: </w:t>
            </w:r>
            <w:r w:rsidRPr="000B7BD3">
              <w:rPr>
                <w:i/>
              </w:rPr>
              <w:t>The Invisible War</w:t>
            </w:r>
            <w:r w:rsidRPr="000B7BD3">
              <w:t xml:space="preserve"> (2012)</w:t>
            </w:r>
            <w:r w:rsidR="00EB06AB" w:rsidRPr="000B7BD3">
              <w:br/>
            </w:r>
          </w:p>
        </w:tc>
        <w:tc>
          <w:tcPr>
            <w:tcW w:w="1278" w:type="dxa"/>
          </w:tcPr>
          <w:p w14:paraId="1ADB6C58" w14:textId="424E45BB" w:rsidR="00EB06AB" w:rsidRPr="000B7BD3" w:rsidRDefault="00EB06AB" w:rsidP="00B61E22">
            <w:r w:rsidRPr="000B7BD3">
              <w:t>T10</w:t>
            </w:r>
          </w:p>
        </w:tc>
      </w:tr>
      <w:tr w:rsidR="00295700" w:rsidRPr="000B7BD3" w14:paraId="0AF33F5C" w14:textId="77777777" w:rsidTr="0060144A">
        <w:tc>
          <w:tcPr>
            <w:tcW w:w="828" w:type="dxa"/>
          </w:tcPr>
          <w:p w14:paraId="1909B9D1" w14:textId="30D2521D" w:rsidR="00295700" w:rsidRPr="000B7BD3" w:rsidRDefault="00295700">
            <w:r w:rsidRPr="000B7BD3">
              <w:t>F</w:t>
            </w:r>
          </w:p>
        </w:tc>
        <w:tc>
          <w:tcPr>
            <w:tcW w:w="900" w:type="dxa"/>
          </w:tcPr>
          <w:p w14:paraId="252A4917" w14:textId="2AD7CC5D" w:rsidR="00295700" w:rsidRPr="000B7BD3" w:rsidRDefault="00295700">
            <w:r w:rsidRPr="000B7BD3">
              <w:t>12/</w:t>
            </w:r>
            <w:r w:rsidR="00150D8D" w:rsidRPr="000B7BD3">
              <w:t>2</w:t>
            </w:r>
          </w:p>
        </w:tc>
        <w:tc>
          <w:tcPr>
            <w:tcW w:w="6030" w:type="dxa"/>
          </w:tcPr>
          <w:p w14:paraId="6242B9BD" w14:textId="18ED25C9" w:rsidR="00295700" w:rsidRPr="000B7BD3" w:rsidRDefault="00295700" w:rsidP="00D00071">
            <w:pPr>
              <w:rPr>
                <w:b/>
              </w:rPr>
            </w:pPr>
            <w:r w:rsidRPr="000B7BD3">
              <w:rPr>
                <w:b/>
              </w:rPr>
              <w:t>Paper #2 Due by 12:00PM</w:t>
            </w:r>
            <w:r w:rsidRPr="000B7BD3">
              <w:rPr>
                <w:b/>
              </w:rPr>
              <w:br/>
            </w:r>
          </w:p>
        </w:tc>
        <w:tc>
          <w:tcPr>
            <w:tcW w:w="1278" w:type="dxa"/>
          </w:tcPr>
          <w:p w14:paraId="34DC8551" w14:textId="77777777" w:rsidR="00295700" w:rsidRPr="000B7BD3" w:rsidRDefault="00295700" w:rsidP="00B61E22"/>
        </w:tc>
      </w:tr>
      <w:tr w:rsidR="00EB06AB" w:rsidRPr="000B7BD3" w14:paraId="553A95BF" w14:textId="77777777" w:rsidTr="0060144A">
        <w:tc>
          <w:tcPr>
            <w:tcW w:w="828" w:type="dxa"/>
          </w:tcPr>
          <w:p w14:paraId="6F49E1FA" w14:textId="08C8596A" w:rsidR="00EB06AB" w:rsidRPr="000B7BD3" w:rsidRDefault="00D00071">
            <w:r w:rsidRPr="000B7BD3">
              <w:t>T</w:t>
            </w:r>
          </w:p>
        </w:tc>
        <w:tc>
          <w:tcPr>
            <w:tcW w:w="900" w:type="dxa"/>
          </w:tcPr>
          <w:p w14:paraId="7358144D" w14:textId="028FCC69" w:rsidR="00EB06AB" w:rsidRPr="000B7BD3" w:rsidRDefault="0060144A">
            <w:r w:rsidRPr="000B7BD3">
              <w:t>12/6</w:t>
            </w:r>
          </w:p>
        </w:tc>
        <w:tc>
          <w:tcPr>
            <w:tcW w:w="6030" w:type="dxa"/>
          </w:tcPr>
          <w:p w14:paraId="347BDA47" w14:textId="77777777" w:rsidR="002821F5" w:rsidRPr="000B7BD3" w:rsidRDefault="002821F5" w:rsidP="002821F5">
            <w:pPr>
              <w:rPr>
                <w:b/>
              </w:rPr>
            </w:pPr>
            <w:r w:rsidRPr="000B7BD3">
              <w:rPr>
                <w:b/>
              </w:rPr>
              <w:t>Military Life During the War on Terror</w:t>
            </w:r>
          </w:p>
          <w:p w14:paraId="4D53AC61" w14:textId="1FE47112" w:rsidR="00EB06AB" w:rsidRPr="000B7BD3" w:rsidRDefault="002821F5" w:rsidP="002821F5">
            <w:pPr>
              <w:pStyle w:val="ListParagraph"/>
              <w:numPr>
                <w:ilvl w:val="0"/>
                <w:numId w:val="29"/>
              </w:numPr>
            </w:pPr>
            <w:r w:rsidRPr="000B7BD3">
              <w:t xml:space="preserve">MacLeish, </w:t>
            </w:r>
            <w:r w:rsidRPr="000B7BD3">
              <w:rPr>
                <w:i/>
              </w:rPr>
              <w:t>Making War at Fort Hood</w:t>
            </w:r>
            <w:r w:rsidRPr="000B7BD3">
              <w:t>, Prologue, Intro, Ch. 1-2</w:t>
            </w:r>
            <w:r w:rsidR="00EB06AB" w:rsidRPr="000B7BD3">
              <w:br/>
            </w:r>
          </w:p>
        </w:tc>
        <w:tc>
          <w:tcPr>
            <w:tcW w:w="1278" w:type="dxa"/>
          </w:tcPr>
          <w:p w14:paraId="1E08DE08" w14:textId="22FF6A4A" w:rsidR="00EB06AB" w:rsidRPr="000B7BD3" w:rsidRDefault="00EB06AB" w:rsidP="00B61E22">
            <w:r w:rsidRPr="000B7BD3">
              <w:t>T11</w:t>
            </w:r>
          </w:p>
        </w:tc>
      </w:tr>
      <w:tr w:rsidR="00EB06AB" w:rsidRPr="000B7BD3" w14:paraId="6A356EE8" w14:textId="77777777" w:rsidTr="0060144A">
        <w:tc>
          <w:tcPr>
            <w:tcW w:w="828" w:type="dxa"/>
          </w:tcPr>
          <w:p w14:paraId="45035DBD" w14:textId="091AFDA5" w:rsidR="00EB06AB" w:rsidRPr="000B7BD3" w:rsidRDefault="00D00071">
            <w:r w:rsidRPr="000B7BD3">
              <w:t>R</w:t>
            </w:r>
          </w:p>
        </w:tc>
        <w:tc>
          <w:tcPr>
            <w:tcW w:w="900" w:type="dxa"/>
          </w:tcPr>
          <w:p w14:paraId="438FAD1C" w14:textId="0AB02462" w:rsidR="00EB06AB" w:rsidRPr="000B7BD3" w:rsidRDefault="0060144A">
            <w:r w:rsidRPr="000B7BD3">
              <w:t>12/8</w:t>
            </w:r>
          </w:p>
        </w:tc>
        <w:tc>
          <w:tcPr>
            <w:tcW w:w="6030" w:type="dxa"/>
          </w:tcPr>
          <w:p w14:paraId="1380733B" w14:textId="0B2AAC51" w:rsidR="00EB06AB" w:rsidRPr="000B7BD3" w:rsidRDefault="002821F5" w:rsidP="002821F5">
            <w:r w:rsidRPr="000B7BD3">
              <w:rPr>
                <w:b/>
              </w:rPr>
              <w:t>Military Life During the War on Terror</w:t>
            </w:r>
          </w:p>
          <w:p w14:paraId="2707B2DD" w14:textId="245FF89F" w:rsidR="002821F5" w:rsidRPr="000B7BD3" w:rsidRDefault="002821F5" w:rsidP="002821F5">
            <w:pPr>
              <w:pStyle w:val="ListParagraph"/>
              <w:numPr>
                <w:ilvl w:val="0"/>
                <w:numId w:val="29"/>
              </w:numPr>
            </w:pPr>
            <w:r w:rsidRPr="000B7BD3">
              <w:t xml:space="preserve">MacLeish, </w:t>
            </w:r>
            <w:r w:rsidRPr="000B7BD3">
              <w:rPr>
                <w:i/>
              </w:rPr>
              <w:t>Making War at Fort Hood</w:t>
            </w:r>
            <w:r w:rsidRPr="000B7BD3">
              <w:t>, Prologue, Intro, Ch. 3-5, conclusion</w:t>
            </w:r>
            <w:r w:rsidRPr="000B7BD3">
              <w:br/>
            </w:r>
          </w:p>
        </w:tc>
        <w:tc>
          <w:tcPr>
            <w:tcW w:w="1278" w:type="dxa"/>
          </w:tcPr>
          <w:p w14:paraId="6D6581E7" w14:textId="1E925F8F" w:rsidR="00EB06AB" w:rsidRPr="000B7BD3" w:rsidRDefault="00EB06AB">
            <w:r w:rsidRPr="000B7BD3">
              <w:t>T12</w:t>
            </w:r>
          </w:p>
        </w:tc>
      </w:tr>
      <w:tr w:rsidR="00150D8D" w:rsidRPr="000B7BD3" w14:paraId="26F2FB7E" w14:textId="77777777" w:rsidTr="0060144A">
        <w:tc>
          <w:tcPr>
            <w:tcW w:w="828" w:type="dxa"/>
          </w:tcPr>
          <w:p w14:paraId="5FBD339B" w14:textId="52A6D5C8" w:rsidR="00150D8D" w:rsidRPr="000B7BD3" w:rsidRDefault="00150D8D">
            <w:r w:rsidRPr="000B7BD3">
              <w:t>F</w:t>
            </w:r>
          </w:p>
        </w:tc>
        <w:tc>
          <w:tcPr>
            <w:tcW w:w="900" w:type="dxa"/>
          </w:tcPr>
          <w:p w14:paraId="7871A9FB" w14:textId="65643EA8" w:rsidR="00150D8D" w:rsidRPr="000B7BD3" w:rsidRDefault="00150D8D">
            <w:r w:rsidRPr="000B7BD3">
              <w:t>12/9</w:t>
            </w:r>
          </w:p>
        </w:tc>
        <w:tc>
          <w:tcPr>
            <w:tcW w:w="6030" w:type="dxa"/>
          </w:tcPr>
          <w:p w14:paraId="3B92F8DF" w14:textId="0142604D" w:rsidR="00150D8D" w:rsidRPr="000B7BD3" w:rsidRDefault="00150D8D" w:rsidP="002821F5">
            <w:pPr>
              <w:rPr>
                <w:b/>
              </w:rPr>
            </w:pPr>
            <w:r w:rsidRPr="000B7BD3">
              <w:rPr>
                <w:b/>
              </w:rPr>
              <w:t>Final Paper Due by 5:00PM</w:t>
            </w:r>
            <w:r w:rsidRPr="000B7BD3">
              <w:rPr>
                <w:b/>
              </w:rPr>
              <w:br/>
            </w:r>
          </w:p>
        </w:tc>
        <w:tc>
          <w:tcPr>
            <w:tcW w:w="1278" w:type="dxa"/>
          </w:tcPr>
          <w:p w14:paraId="10625210" w14:textId="77777777" w:rsidR="00150D8D" w:rsidRPr="000B7BD3" w:rsidRDefault="00150D8D"/>
        </w:tc>
      </w:tr>
      <w:tr w:rsidR="00EB06AB" w:rsidRPr="000B7BD3" w14:paraId="7D7E2AEE" w14:textId="77777777" w:rsidTr="0060144A">
        <w:tc>
          <w:tcPr>
            <w:tcW w:w="828" w:type="dxa"/>
          </w:tcPr>
          <w:p w14:paraId="220A023C" w14:textId="77777777" w:rsidR="00EB06AB" w:rsidRPr="000B7BD3" w:rsidRDefault="00EB06AB"/>
        </w:tc>
        <w:tc>
          <w:tcPr>
            <w:tcW w:w="900" w:type="dxa"/>
          </w:tcPr>
          <w:p w14:paraId="1EEC9B04" w14:textId="2D2FE8FD" w:rsidR="00EB06AB" w:rsidRPr="000B7BD3" w:rsidRDefault="00EB06AB">
            <w:r w:rsidRPr="000B7BD3">
              <w:t>TBD</w:t>
            </w:r>
          </w:p>
        </w:tc>
        <w:tc>
          <w:tcPr>
            <w:tcW w:w="6030" w:type="dxa"/>
          </w:tcPr>
          <w:p w14:paraId="7603AF08" w14:textId="504743EB" w:rsidR="00EB06AB" w:rsidRPr="000B7BD3" w:rsidRDefault="00EB06AB" w:rsidP="0060144A">
            <w:pPr>
              <w:rPr>
                <w:b/>
              </w:rPr>
            </w:pPr>
            <w:r w:rsidRPr="000B7BD3">
              <w:rPr>
                <w:b/>
              </w:rPr>
              <w:t xml:space="preserve">Final </w:t>
            </w:r>
            <w:r w:rsidR="0060144A" w:rsidRPr="000B7BD3">
              <w:rPr>
                <w:b/>
              </w:rPr>
              <w:t>Exam</w:t>
            </w:r>
          </w:p>
        </w:tc>
        <w:tc>
          <w:tcPr>
            <w:tcW w:w="1278" w:type="dxa"/>
          </w:tcPr>
          <w:p w14:paraId="065ECA29" w14:textId="77777777" w:rsidR="00EB06AB" w:rsidRPr="000B7BD3" w:rsidRDefault="00EB06AB"/>
        </w:tc>
      </w:tr>
    </w:tbl>
    <w:p w14:paraId="6C41FAD3" w14:textId="77777777" w:rsidR="00644096" w:rsidRPr="000B7BD3" w:rsidRDefault="00644096"/>
    <w:sectPr w:rsidR="00644096" w:rsidRPr="000B7BD3" w:rsidSect="00991DE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0DFD46" w14:textId="77777777" w:rsidR="009E02C6" w:rsidRDefault="009E02C6" w:rsidP="00EB06AB">
      <w:r>
        <w:separator/>
      </w:r>
    </w:p>
  </w:endnote>
  <w:endnote w:type="continuationSeparator" w:id="0">
    <w:p w14:paraId="3DDC0E2F" w14:textId="77777777" w:rsidR="009E02C6" w:rsidRDefault="009E02C6" w:rsidP="00EB0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SimSun">
    <w:altName w:val="宋体"/>
    <w:charset w:val="86"/>
    <w:family w:val="auto"/>
    <w:pitch w:val="variable"/>
    <w:sig w:usb0="00000003" w:usb1="288F0000" w:usb2="00000016" w:usb3="00000000" w:csb0="00040001" w:csb1="00000000"/>
  </w:font>
  <w:font w:name="MS Mincho">
    <w:altName w:val="ＭＳ 明朝"/>
    <w:charset w:val="80"/>
    <w:family w:val="modern"/>
    <w:pitch w:val="fixed"/>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Consolas">
    <w:panose1 w:val="020B0609020204030204"/>
    <w:charset w:val="00"/>
    <w:family w:val="auto"/>
    <w:pitch w:val="variable"/>
    <w:sig w:usb0="E10002FF" w:usb1="4000FCFF" w:usb2="00000009" w:usb3="00000000" w:csb0="0000019F" w:csb1="00000000"/>
  </w:font>
  <w:font w:name="PMingLiU">
    <w:altName w:val="新細明體"/>
    <w:charset w:val="88"/>
    <w:family w:val="roman"/>
    <w:pitch w:val="variable"/>
    <w:sig w:usb0="A00002FF" w:usb1="28CFFCFA" w:usb2="00000016" w:usb3="00000000" w:csb0="001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SourceSansPro-Regular">
    <w:altName w:val="Cambria"/>
    <w:panose1 w:val="00000000000000000000"/>
    <w:charset w:val="00"/>
    <w:family w:val="auto"/>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4391D8" w14:textId="77777777" w:rsidR="009E02C6" w:rsidRDefault="009E02C6" w:rsidP="00EB06AB">
      <w:r>
        <w:separator/>
      </w:r>
    </w:p>
  </w:footnote>
  <w:footnote w:type="continuationSeparator" w:id="0">
    <w:p w14:paraId="3C2CDD21" w14:textId="77777777" w:rsidR="009E02C6" w:rsidRDefault="009E02C6" w:rsidP="00EB06AB">
      <w:r>
        <w:continuationSeparator/>
      </w:r>
    </w:p>
  </w:footnote>
  <w:footnote w:id="1">
    <w:p w14:paraId="75215C3A" w14:textId="77777777" w:rsidR="009E02C6" w:rsidRDefault="009E02C6" w:rsidP="00EB06AB">
      <w:pPr>
        <w:pStyle w:val="FootnoteText"/>
      </w:pPr>
      <w:r>
        <w:rPr>
          <w:rStyle w:val="FootnoteReference"/>
        </w:rPr>
        <w:footnoteRef/>
      </w:r>
      <w:r>
        <w:t xml:space="preserve"> This paragraph is adapted, with permission, from Claire Bond Potter, “</w:t>
      </w:r>
      <w:proofErr w:type="spellStart"/>
      <w:r>
        <w:t>Microagressions</w:t>
      </w:r>
      <w:proofErr w:type="spellEnd"/>
      <w:r>
        <w:t xml:space="preserve">: An Intervention,” Claire Bond Potter, July 13, 2016. Available: </w:t>
      </w:r>
      <w:r w:rsidRPr="00453416">
        <w:t>https://clairepotter.com/2016/07/13/microaggressions-an-intervention/</w:t>
      </w:r>
    </w:p>
  </w:footnote>
  <w:footnote w:id="2">
    <w:p w14:paraId="1BDC1B7A" w14:textId="77777777" w:rsidR="009E02C6" w:rsidRPr="0034780F" w:rsidRDefault="009E02C6" w:rsidP="00EB06AB">
      <w:pPr>
        <w:pStyle w:val="FootnoteText"/>
      </w:pPr>
      <w:r>
        <w:rPr>
          <w:rStyle w:val="FootnoteReference"/>
        </w:rPr>
        <w:footnoteRef/>
      </w:r>
      <w:r>
        <w:t xml:space="preserve"> </w:t>
      </w:r>
      <w:proofErr w:type="spellStart"/>
      <w:r>
        <w:t>Derald</w:t>
      </w:r>
      <w:proofErr w:type="spellEnd"/>
      <w:r>
        <w:t xml:space="preserve"> Wing Sue, “</w:t>
      </w:r>
      <w:proofErr w:type="spellStart"/>
      <w:r>
        <w:t>Microagressions</w:t>
      </w:r>
      <w:proofErr w:type="spellEnd"/>
      <w:r>
        <w:t xml:space="preserve">: More Than Just Race,” </w:t>
      </w:r>
      <w:r>
        <w:rPr>
          <w:i/>
        </w:rPr>
        <w:t>Psychology Today</w:t>
      </w:r>
      <w:r>
        <w:t xml:space="preserve">, November 17, 2010. Available: </w:t>
      </w:r>
      <w:r w:rsidRPr="0034780F">
        <w:t>https://www.psychologytoday.com/blog/microaggressions-in-everyday-life/201011/microaggressions-more-just-race</w:t>
      </w:r>
      <w:r>
        <w:t xml:space="preserve"> </w:t>
      </w:r>
    </w:p>
  </w:footnote>
  <w:footnote w:id="3">
    <w:p w14:paraId="6616DB47" w14:textId="77777777" w:rsidR="009E02C6" w:rsidRDefault="009E02C6" w:rsidP="00EB06AB">
      <w:pPr>
        <w:pStyle w:val="FootnoteText"/>
      </w:pPr>
      <w:r>
        <w:rPr>
          <w:rStyle w:val="FootnoteReference"/>
        </w:rPr>
        <w:footnoteRef/>
      </w:r>
      <w:r>
        <w:t xml:space="preserve"> “Examples of </w:t>
      </w:r>
      <w:proofErr w:type="spellStart"/>
      <w:r>
        <w:t>Microaggressions</w:t>
      </w:r>
      <w:proofErr w:type="spellEnd"/>
      <w:r>
        <w:t xml:space="preserve">,” University of Minnesota School of Public Health, </w:t>
      </w:r>
      <w:proofErr w:type="spellStart"/>
      <w:r>
        <w:t>n.d.</w:t>
      </w:r>
      <w:proofErr w:type="spellEnd"/>
      <w:r>
        <w:t xml:space="preserve"> Available: </w:t>
      </w:r>
      <w:r w:rsidRPr="0034780F">
        <w:t>http://sph.umn.edu/site/docs/hewg/microaggressions.pdf</w:t>
      </w:r>
    </w:p>
  </w:footnote>
  <w:footnote w:id="4">
    <w:p w14:paraId="15E72955" w14:textId="77777777" w:rsidR="009E02C6" w:rsidRDefault="009E02C6" w:rsidP="00EB06AB">
      <w:pPr>
        <w:pStyle w:val="FootnoteText"/>
      </w:pPr>
      <w:r>
        <w:rPr>
          <w:rStyle w:val="FootnoteReference"/>
        </w:rPr>
        <w:footnoteRef/>
      </w:r>
      <w:r>
        <w:t xml:space="preserve"> “Procedures for Academic Dishonesty,” Washington and Jefferson College, </w:t>
      </w:r>
      <w:proofErr w:type="spellStart"/>
      <w:r>
        <w:t>n.d.</w:t>
      </w:r>
      <w:proofErr w:type="spellEnd"/>
      <w:r>
        <w:t xml:space="preserve"> Available: </w:t>
      </w:r>
      <w:r w:rsidRPr="00B214D1">
        <w:t>http://wiki.washjeff.edu/display/CATALOG2015/Procedures+for+Cases+of+Academic+Misconduct</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3178F"/>
    <w:multiLevelType w:val="hybridMultilevel"/>
    <w:tmpl w:val="A2704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6D03DF"/>
    <w:multiLevelType w:val="hybridMultilevel"/>
    <w:tmpl w:val="881C14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B374C7"/>
    <w:multiLevelType w:val="hybridMultilevel"/>
    <w:tmpl w:val="AE0ED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93347F"/>
    <w:multiLevelType w:val="hybridMultilevel"/>
    <w:tmpl w:val="66347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1B285E"/>
    <w:multiLevelType w:val="hybridMultilevel"/>
    <w:tmpl w:val="739E1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A35891"/>
    <w:multiLevelType w:val="hybridMultilevel"/>
    <w:tmpl w:val="13F02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7B5E78"/>
    <w:multiLevelType w:val="hybridMultilevel"/>
    <w:tmpl w:val="FAF42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A7C215E"/>
    <w:multiLevelType w:val="hybridMultilevel"/>
    <w:tmpl w:val="A66861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D2B7BE6"/>
    <w:multiLevelType w:val="hybridMultilevel"/>
    <w:tmpl w:val="312E1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F07964"/>
    <w:multiLevelType w:val="hybridMultilevel"/>
    <w:tmpl w:val="78527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A3D6B38"/>
    <w:multiLevelType w:val="hybridMultilevel"/>
    <w:tmpl w:val="83A02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046713E"/>
    <w:multiLevelType w:val="hybridMultilevel"/>
    <w:tmpl w:val="4B427E0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4975556D"/>
    <w:multiLevelType w:val="hybridMultilevel"/>
    <w:tmpl w:val="95824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B0D6D50"/>
    <w:multiLevelType w:val="hybridMultilevel"/>
    <w:tmpl w:val="AAC4A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B5257B3"/>
    <w:multiLevelType w:val="hybridMultilevel"/>
    <w:tmpl w:val="49EC4C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D6844D6"/>
    <w:multiLevelType w:val="hybridMultilevel"/>
    <w:tmpl w:val="F57A0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9A555B6"/>
    <w:multiLevelType w:val="hybridMultilevel"/>
    <w:tmpl w:val="D4DEF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ABF1515"/>
    <w:multiLevelType w:val="hybridMultilevel"/>
    <w:tmpl w:val="A1ACC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DFB2186"/>
    <w:multiLevelType w:val="hybridMultilevel"/>
    <w:tmpl w:val="B5389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E9F5392"/>
    <w:multiLevelType w:val="hybridMultilevel"/>
    <w:tmpl w:val="80F48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F3820A4"/>
    <w:multiLevelType w:val="hybridMultilevel"/>
    <w:tmpl w:val="BD3C1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3341E2E"/>
    <w:multiLevelType w:val="hybridMultilevel"/>
    <w:tmpl w:val="86561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8525FBA"/>
    <w:multiLevelType w:val="hybridMultilevel"/>
    <w:tmpl w:val="49B8A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9BC109E"/>
    <w:multiLevelType w:val="hybridMultilevel"/>
    <w:tmpl w:val="6448A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9CB7024"/>
    <w:multiLevelType w:val="hybridMultilevel"/>
    <w:tmpl w:val="CB7005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A9A5682"/>
    <w:multiLevelType w:val="hybridMultilevel"/>
    <w:tmpl w:val="F76CA5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CB64476"/>
    <w:multiLevelType w:val="hybridMultilevel"/>
    <w:tmpl w:val="5CE2C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ED9374B"/>
    <w:multiLevelType w:val="hybridMultilevel"/>
    <w:tmpl w:val="2B2242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0E314D9"/>
    <w:multiLevelType w:val="hybridMultilevel"/>
    <w:tmpl w:val="EF8C9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31B20F5"/>
    <w:multiLevelType w:val="hybridMultilevel"/>
    <w:tmpl w:val="110E9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8AB7A65"/>
    <w:multiLevelType w:val="hybridMultilevel"/>
    <w:tmpl w:val="86DC24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BE421B2"/>
    <w:multiLevelType w:val="hybridMultilevel"/>
    <w:tmpl w:val="87FAF1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7E0F58EA"/>
    <w:multiLevelType w:val="hybridMultilevel"/>
    <w:tmpl w:val="E46A3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2"/>
  </w:num>
  <w:num w:numId="3">
    <w:abstractNumId w:val="15"/>
  </w:num>
  <w:num w:numId="4">
    <w:abstractNumId w:val="8"/>
  </w:num>
  <w:num w:numId="5">
    <w:abstractNumId w:val="0"/>
  </w:num>
  <w:num w:numId="6">
    <w:abstractNumId w:val="13"/>
  </w:num>
  <w:num w:numId="7">
    <w:abstractNumId w:val="21"/>
  </w:num>
  <w:num w:numId="8">
    <w:abstractNumId w:val="3"/>
  </w:num>
  <w:num w:numId="9">
    <w:abstractNumId w:val="12"/>
  </w:num>
  <w:num w:numId="10">
    <w:abstractNumId w:val="19"/>
  </w:num>
  <w:num w:numId="11">
    <w:abstractNumId w:val="32"/>
  </w:num>
  <w:num w:numId="12">
    <w:abstractNumId w:val="9"/>
  </w:num>
  <w:num w:numId="13">
    <w:abstractNumId w:val="24"/>
  </w:num>
  <w:num w:numId="14">
    <w:abstractNumId w:val="14"/>
  </w:num>
  <w:num w:numId="15">
    <w:abstractNumId w:val="30"/>
  </w:num>
  <w:num w:numId="16">
    <w:abstractNumId w:val="1"/>
  </w:num>
  <w:num w:numId="17">
    <w:abstractNumId w:val="22"/>
  </w:num>
  <w:num w:numId="18">
    <w:abstractNumId w:val="27"/>
  </w:num>
  <w:num w:numId="19">
    <w:abstractNumId w:val="25"/>
  </w:num>
  <w:num w:numId="20">
    <w:abstractNumId w:val="11"/>
  </w:num>
  <w:num w:numId="21">
    <w:abstractNumId w:val="28"/>
  </w:num>
  <w:num w:numId="22">
    <w:abstractNumId w:val="17"/>
  </w:num>
  <w:num w:numId="23">
    <w:abstractNumId w:val="26"/>
  </w:num>
  <w:num w:numId="24">
    <w:abstractNumId w:val="6"/>
  </w:num>
  <w:num w:numId="25">
    <w:abstractNumId w:val="31"/>
  </w:num>
  <w:num w:numId="26">
    <w:abstractNumId w:val="7"/>
  </w:num>
  <w:num w:numId="27">
    <w:abstractNumId w:val="16"/>
  </w:num>
  <w:num w:numId="28">
    <w:abstractNumId w:val="5"/>
  </w:num>
  <w:num w:numId="29">
    <w:abstractNumId w:val="10"/>
  </w:num>
  <w:num w:numId="30">
    <w:abstractNumId w:val="18"/>
  </w:num>
  <w:num w:numId="31">
    <w:abstractNumId w:val="20"/>
  </w:num>
  <w:num w:numId="32">
    <w:abstractNumId w:val="4"/>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68E"/>
    <w:rsid w:val="00091E20"/>
    <w:rsid w:val="000B7BD3"/>
    <w:rsid w:val="000C6573"/>
    <w:rsid w:val="000D3CB8"/>
    <w:rsid w:val="001176FF"/>
    <w:rsid w:val="00150D8D"/>
    <w:rsid w:val="0018685E"/>
    <w:rsid w:val="001A7E05"/>
    <w:rsid w:val="00210CE5"/>
    <w:rsid w:val="002635D2"/>
    <w:rsid w:val="002821F5"/>
    <w:rsid w:val="00295700"/>
    <w:rsid w:val="002F569C"/>
    <w:rsid w:val="00306171"/>
    <w:rsid w:val="00461F48"/>
    <w:rsid w:val="004A516D"/>
    <w:rsid w:val="0060144A"/>
    <w:rsid w:val="00644096"/>
    <w:rsid w:val="0066168E"/>
    <w:rsid w:val="006A2E87"/>
    <w:rsid w:val="006E7046"/>
    <w:rsid w:val="00752399"/>
    <w:rsid w:val="00820701"/>
    <w:rsid w:val="00871A4A"/>
    <w:rsid w:val="008A6069"/>
    <w:rsid w:val="00981869"/>
    <w:rsid w:val="00991DE3"/>
    <w:rsid w:val="009E02C6"/>
    <w:rsid w:val="00A21A95"/>
    <w:rsid w:val="00A57437"/>
    <w:rsid w:val="00B101F2"/>
    <w:rsid w:val="00B61E22"/>
    <w:rsid w:val="00BA62C9"/>
    <w:rsid w:val="00BB7B2E"/>
    <w:rsid w:val="00BC0823"/>
    <w:rsid w:val="00CD2AF9"/>
    <w:rsid w:val="00D00071"/>
    <w:rsid w:val="00D173B1"/>
    <w:rsid w:val="00DC629A"/>
    <w:rsid w:val="00E1588D"/>
    <w:rsid w:val="00E235B4"/>
    <w:rsid w:val="00E52BB5"/>
    <w:rsid w:val="00EB06AB"/>
    <w:rsid w:val="00F36A3F"/>
    <w:rsid w:val="00F868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0230DC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616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66168E"/>
    <w:pPr>
      <w:ind w:left="720"/>
      <w:contextualSpacing/>
    </w:pPr>
  </w:style>
  <w:style w:type="paragraph" w:styleId="NoSpacing">
    <w:name w:val="No Spacing"/>
    <w:uiPriority w:val="1"/>
    <w:qFormat/>
    <w:rsid w:val="00306171"/>
    <w:rPr>
      <w:rFonts w:ascii="Cambria" w:eastAsia="SimSun" w:hAnsi="Cambria" w:cs="Times New Roman"/>
      <w:sz w:val="22"/>
      <w:szCs w:val="22"/>
    </w:rPr>
  </w:style>
  <w:style w:type="paragraph" w:customStyle="1" w:styleId="ColorfulList-Accent11">
    <w:name w:val="Colorful List - Accent 11"/>
    <w:basedOn w:val="Normal"/>
    <w:uiPriority w:val="34"/>
    <w:qFormat/>
    <w:rsid w:val="00B61E22"/>
    <w:pPr>
      <w:ind w:left="720"/>
      <w:contextualSpacing/>
    </w:pPr>
    <w:rPr>
      <w:rFonts w:ascii="Cambria" w:eastAsia="MS Mincho" w:hAnsi="Cambria" w:cs="Times New Roman"/>
    </w:rPr>
  </w:style>
  <w:style w:type="character" w:styleId="Hyperlink">
    <w:name w:val="Hyperlink"/>
    <w:basedOn w:val="DefaultParagraphFont"/>
    <w:uiPriority w:val="99"/>
    <w:unhideWhenUsed/>
    <w:rsid w:val="002F569C"/>
    <w:rPr>
      <w:color w:val="0000FF" w:themeColor="hyperlink"/>
      <w:u w:val="single"/>
    </w:rPr>
  </w:style>
  <w:style w:type="paragraph" w:styleId="NormalWeb">
    <w:name w:val="Normal (Web)"/>
    <w:basedOn w:val="Normal"/>
    <w:uiPriority w:val="99"/>
    <w:unhideWhenUsed/>
    <w:rsid w:val="00EB06AB"/>
    <w:pPr>
      <w:spacing w:before="100" w:beforeAutospacing="1" w:after="100" w:afterAutospacing="1"/>
    </w:pPr>
    <w:rPr>
      <w:rFonts w:ascii="Times" w:hAnsi="Times" w:cs="Times New Roman"/>
      <w:sz w:val="20"/>
      <w:szCs w:val="20"/>
    </w:rPr>
  </w:style>
  <w:style w:type="paragraph" w:customStyle="1" w:styleId="NoSpacing1">
    <w:name w:val="No Spacing1"/>
    <w:uiPriority w:val="1"/>
    <w:qFormat/>
    <w:rsid w:val="00EB06AB"/>
    <w:rPr>
      <w:rFonts w:ascii="Calibri" w:eastAsia="Calibri" w:hAnsi="Calibri" w:cs="Times New Roman"/>
      <w:sz w:val="22"/>
      <w:szCs w:val="22"/>
    </w:rPr>
  </w:style>
  <w:style w:type="paragraph" w:styleId="FootnoteText">
    <w:name w:val="footnote text"/>
    <w:basedOn w:val="Normal"/>
    <w:link w:val="FootnoteTextChar"/>
    <w:uiPriority w:val="99"/>
    <w:unhideWhenUsed/>
    <w:rsid w:val="00EB06AB"/>
    <w:rPr>
      <w:rFonts w:eastAsiaTheme="minorHAnsi"/>
    </w:rPr>
  </w:style>
  <w:style w:type="character" w:customStyle="1" w:styleId="FootnoteTextChar">
    <w:name w:val="Footnote Text Char"/>
    <w:basedOn w:val="DefaultParagraphFont"/>
    <w:link w:val="FootnoteText"/>
    <w:uiPriority w:val="99"/>
    <w:rsid w:val="00EB06AB"/>
    <w:rPr>
      <w:rFonts w:eastAsiaTheme="minorHAnsi"/>
    </w:rPr>
  </w:style>
  <w:style w:type="character" w:styleId="FootnoteReference">
    <w:name w:val="footnote reference"/>
    <w:basedOn w:val="DefaultParagraphFont"/>
    <w:uiPriority w:val="99"/>
    <w:unhideWhenUsed/>
    <w:rsid w:val="00EB06AB"/>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616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66168E"/>
    <w:pPr>
      <w:ind w:left="720"/>
      <w:contextualSpacing/>
    </w:pPr>
  </w:style>
  <w:style w:type="paragraph" w:styleId="NoSpacing">
    <w:name w:val="No Spacing"/>
    <w:uiPriority w:val="1"/>
    <w:qFormat/>
    <w:rsid w:val="00306171"/>
    <w:rPr>
      <w:rFonts w:ascii="Cambria" w:eastAsia="SimSun" w:hAnsi="Cambria" w:cs="Times New Roman"/>
      <w:sz w:val="22"/>
      <w:szCs w:val="22"/>
    </w:rPr>
  </w:style>
  <w:style w:type="paragraph" w:customStyle="1" w:styleId="ColorfulList-Accent11">
    <w:name w:val="Colorful List - Accent 11"/>
    <w:basedOn w:val="Normal"/>
    <w:uiPriority w:val="34"/>
    <w:qFormat/>
    <w:rsid w:val="00B61E22"/>
    <w:pPr>
      <w:ind w:left="720"/>
      <w:contextualSpacing/>
    </w:pPr>
    <w:rPr>
      <w:rFonts w:ascii="Cambria" w:eastAsia="MS Mincho" w:hAnsi="Cambria" w:cs="Times New Roman"/>
    </w:rPr>
  </w:style>
  <w:style w:type="character" w:styleId="Hyperlink">
    <w:name w:val="Hyperlink"/>
    <w:basedOn w:val="DefaultParagraphFont"/>
    <w:uiPriority w:val="99"/>
    <w:unhideWhenUsed/>
    <w:rsid w:val="002F569C"/>
    <w:rPr>
      <w:color w:val="0000FF" w:themeColor="hyperlink"/>
      <w:u w:val="single"/>
    </w:rPr>
  </w:style>
  <w:style w:type="paragraph" w:styleId="NormalWeb">
    <w:name w:val="Normal (Web)"/>
    <w:basedOn w:val="Normal"/>
    <w:uiPriority w:val="99"/>
    <w:unhideWhenUsed/>
    <w:rsid w:val="00EB06AB"/>
    <w:pPr>
      <w:spacing w:before="100" w:beforeAutospacing="1" w:after="100" w:afterAutospacing="1"/>
    </w:pPr>
    <w:rPr>
      <w:rFonts w:ascii="Times" w:hAnsi="Times" w:cs="Times New Roman"/>
      <w:sz w:val="20"/>
      <w:szCs w:val="20"/>
    </w:rPr>
  </w:style>
  <w:style w:type="paragraph" w:customStyle="1" w:styleId="NoSpacing1">
    <w:name w:val="No Spacing1"/>
    <w:uiPriority w:val="1"/>
    <w:qFormat/>
    <w:rsid w:val="00EB06AB"/>
    <w:rPr>
      <w:rFonts w:ascii="Calibri" w:eastAsia="Calibri" w:hAnsi="Calibri" w:cs="Times New Roman"/>
      <w:sz w:val="22"/>
      <w:szCs w:val="22"/>
    </w:rPr>
  </w:style>
  <w:style w:type="paragraph" w:styleId="FootnoteText">
    <w:name w:val="footnote text"/>
    <w:basedOn w:val="Normal"/>
    <w:link w:val="FootnoteTextChar"/>
    <w:uiPriority w:val="99"/>
    <w:unhideWhenUsed/>
    <w:rsid w:val="00EB06AB"/>
    <w:rPr>
      <w:rFonts w:eastAsiaTheme="minorHAnsi"/>
    </w:rPr>
  </w:style>
  <w:style w:type="character" w:customStyle="1" w:styleId="FootnoteTextChar">
    <w:name w:val="Footnote Text Char"/>
    <w:basedOn w:val="DefaultParagraphFont"/>
    <w:link w:val="FootnoteText"/>
    <w:uiPriority w:val="99"/>
    <w:rsid w:val="00EB06AB"/>
    <w:rPr>
      <w:rFonts w:eastAsiaTheme="minorHAnsi"/>
    </w:rPr>
  </w:style>
  <w:style w:type="character" w:styleId="FootnoteReference">
    <w:name w:val="footnote reference"/>
    <w:basedOn w:val="DefaultParagraphFont"/>
    <w:uiPriority w:val="99"/>
    <w:unhideWhenUsed/>
    <w:rsid w:val="00EB06A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aacvr-germany.org/index.php/movies-8/the-negro-soldier-1944" TargetMode="External"/><Relationship Id="rId12" Type="http://schemas.openxmlformats.org/officeDocument/2006/relationships/hyperlink" Target="http://www.aacvr-germany.org/index.php/images-7"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washjeff.edu/diversity-programs" TargetMode="External"/><Relationship Id="rId9" Type="http://schemas.openxmlformats.org/officeDocument/2006/relationships/hyperlink" Target="mailto:dkieran@washjeff.edu" TargetMode="External"/><Relationship Id="rId10" Type="http://schemas.openxmlformats.org/officeDocument/2006/relationships/hyperlink" Target="http://www.washjeff.edu/p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12</Pages>
  <Words>3630</Words>
  <Characters>20691</Characters>
  <Application>Microsoft Macintosh Word</Application>
  <DocSecurity>0</DocSecurity>
  <Lines>172</Lines>
  <Paragraphs>48</Paragraphs>
  <ScaleCrop>false</ScaleCrop>
  <Company>Skidmore College</Company>
  <LinksUpToDate>false</LinksUpToDate>
  <CharactersWithSpaces>24273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Skidmore College</dc:creator>
  <cp:keywords/>
  <dc:description/>
  <cp:lastModifiedBy>David Kieran</cp:lastModifiedBy>
  <cp:revision>8</cp:revision>
  <cp:lastPrinted>2015-01-23T21:27:00Z</cp:lastPrinted>
  <dcterms:created xsi:type="dcterms:W3CDTF">2016-08-24T23:00:00Z</dcterms:created>
  <dcterms:modified xsi:type="dcterms:W3CDTF">2016-08-25T15:21:00Z</dcterms:modified>
</cp:coreProperties>
</file>